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4700" w:rsidRDefault="00124700" w:rsidP="00124700">
      <w:pPr>
        <w:pStyle w:val="Sinespaciado"/>
        <w:jc w:val="center"/>
        <w:rPr>
          <w:b/>
        </w:rPr>
      </w:pPr>
    </w:p>
    <w:p w:rsidR="00124700" w:rsidRDefault="00124700" w:rsidP="00124700">
      <w:pPr>
        <w:pStyle w:val="Sinespaciado"/>
        <w:jc w:val="center"/>
        <w:rPr>
          <w:b/>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bookmarkStart w:id="0" w:name="_GoBack"/>
      <w:bookmarkEnd w:id="0"/>
    </w:p>
    <w:p w:rsidR="004F445E" w:rsidRDefault="004F445E" w:rsidP="00124700">
      <w:pPr>
        <w:pStyle w:val="Sinespaciado"/>
        <w:jc w:val="center"/>
        <w:rPr>
          <w:rFonts w:cstheme="minorHAnsi"/>
          <w:b/>
          <w:sz w:val="24"/>
          <w:szCs w:val="24"/>
        </w:rPr>
      </w:pPr>
    </w:p>
    <w:p w:rsidR="006B50D1" w:rsidRPr="006B50D1" w:rsidRDefault="006B50D1" w:rsidP="006B50D1">
      <w:pPr>
        <w:pStyle w:val="Ttulo2"/>
        <w:rPr>
          <w:rFonts w:ascii="Arial Rounded MT Bold" w:hAnsi="Arial Rounded MT Bold"/>
          <w:color w:val="2F5496" w:themeColor="accent5" w:themeShade="BF"/>
          <w:sz w:val="52"/>
          <w:szCs w:val="52"/>
        </w:rPr>
      </w:pPr>
      <w:r w:rsidRPr="006B50D1">
        <w:rPr>
          <w:rFonts w:ascii="Arial Rounded MT Bold" w:hAnsi="Arial Rounded MT Bold"/>
          <w:color w:val="2F5496" w:themeColor="accent5" w:themeShade="BF"/>
          <w:sz w:val="52"/>
          <w:szCs w:val="52"/>
        </w:rPr>
        <w:t xml:space="preserve">INFORME </w:t>
      </w:r>
      <w:r w:rsidR="004F445E">
        <w:rPr>
          <w:rFonts w:ascii="Arial Rounded MT Bold" w:hAnsi="Arial Rounded MT Bold"/>
          <w:color w:val="2F5496" w:themeColor="accent5" w:themeShade="BF"/>
          <w:sz w:val="52"/>
          <w:szCs w:val="52"/>
        </w:rPr>
        <w:t xml:space="preserve">NARRATIVO </w:t>
      </w:r>
      <w:r w:rsidR="00C06633">
        <w:rPr>
          <w:rFonts w:ascii="Arial Rounded MT Bold" w:hAnsi="Arial Rounded MT Bold"/>
          <w:color w:val="2F5496" w:themeColor="accent5" w:themeShade="BF"/>
          <w:sz w:val="52"/>
          <w:szCs w:val="52"/>
        </w:rPr>
        <w:t>PRELIMINAR DE RENDICIÓ</w:t>
      </w:r>
      <w:r w:rsidRPr="006B50D1">
        <w:rPr>
          <w:rFonts w:ascii="Arial Rounded MT Bold" w:hAnsi="Arial Rounded MT Bold"/>
          <w:color w:val="2F5496" w:themeColor="accent5" w:themeShade="BF"/>
          <w:sz w:val="52"/>
          <w:szCs w:val="52"/>
        </w:rPr>
        <w:t xml:space="preserve">N DE CUENTAS 2021 DE LA EOD </w:t>
      </w:r>
      <w:proofErr w:type="gramStart"/>
      <w:r w:rsidRPr="006B50D1">
        <w:rPr>
          <w:rFonts w:ascii="Arial Rounded MT Bold" w:hAnsi="Arial Rounded MT Bold"/>
          <w:color w:val="2F5496" w:themeColor="accent5" w:themeShade="BF"/>
          <w:sz w:val="52"/>
          <w:szCs w:val="52"/>
        </w:rPr>
        <w:t>( IRQ</w:t>
      </w:r>
      <w:proofErr w:type="gramEnd"/>
      <w:r w:rsidRPr="006B50D1">
        <w:rPr>
          <w:rFonts w:ascii="Arial Rounded MT Bold" w:hAnsi="Arial Rounded MT Bold"/>
          <w:color w:val="2F5496" w:themeColor="accent5" w:themeShade="BF"/>
          <w:sz w:val="52"/>
          <w:szCs w:val="52"/>
        </w:rPr>
        <w:t xml:space="preserve"> )</w:t>
      </w: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6B50D1" w:rsidRDefault="006B50D1" w:rsidP="00124700">
      <w:pPr>
        <w:pStyle w:val="Sinespaciado"/>
        <w:jc w:val="center"/>
        <w:rPr>
          <w:rFonts w:cstheme="minorHAnsi"/>
          <w:b/>
          <w:sz w:val="24"/>
          <w:szCs w:val="24"/>
        </w:rPr>
      </w:pPr>
    </w:p>
    <w:p w:rsidR="00124700" w:rsidRPr="006B50D1" w:rsidRDefault="00124700" w:rsidP="00124700">
      <w:pPr>
        <w:pStyle w:val="Sinespaciado"/>
        <w:jc w:val="center"/>
        <w:rPr>
          <w:rFonts w:cstheme="minorHAnsi"/>
          <w:b/>
          <w:sz w:val="28"/>
          <w:szCs w:val="28"/>
        </w:rPr>
      </w:pPr>
      <w:r w:rsidRPr="006B50D1">
        <w:rPr>
          <w:rFonts w:cstheme="minorHAnsi"/>
          <w:b/>
          <w:sz w:val="28"/>
          <w:szCs w:val="28"/>
        </w:rPr>
        <w:t xml:space="preserve">INFORME </w:t>
      </w:r>
      <w:r w:rsidR="004F445E">
        <w:rPr>
          <w:rFonts w:cstheme="minorHAnsi"/>
          <w:b/>
          <w:sz w:val="28"/>
          <w:szCs w:val="28"/>
        </w:rPr>
        <w:t xml:space="preserve">NARRATIVO </w:t>
      </w:r>
      <w:r w:rsidR="006013B0" w:rsidRPr="006B50D1">
        <w:rPr>
          <w:rFonts w:cstheme="minorHAnsi"/>
          <w:b/>
          <w:sz w:val="28"/>
          <w:szCs w:val="28"/>
        </w:rPr>
        <w:t xml:space="preserve">PRELIMINAR </w:t>
      </w:r>
      <w:r w:rsidRPr="006B50D1">
        <w:rPr>
          <w:rFonts w:cstheme="minorHAnsi"/>
          <w:b/>
          <w:sz w:val="28"/>
          <w:szCs w:val="28"/>
        </w:rPr>
        <w:t>DE RENDICIÓN DE CUENTAS 2021</w:t>
      </w:r>
    </w:p>
    <w:p w:rsidR="00124700" w:rsidRPr="006B50D1" w:rsidRDefault="00124700" w:rsidP="00124700">
      <w:pPr>
        <w:pStyle w:val="Sinespaciado"/>
        <w:jc w:val="center"/>
        <w:rPr>
          <w:rFonts w:cstheme="minorHAnsi"/>
          <w:b/>
          <w:sz w:val="28"/>
          <w:szCs w:val="28"/>
        </w:rPr>
      </w:pPr>
      <w:r w:rsidRPr="006B50D1">
        <w:rPr>
          <w:rFonts w:cstheme="minorHAnsi"/>
          <w:b/>
          <w:sz w:val="28"/>
          <w:szCs w:val="28"/>
        </w:rPr>
        <w:t>INTENDENCIA REGIONAL DE QUITO</w:t>
      </w:r>
    </w:p>
    <w:p w:rsidR="00124700" w:rsidRPr="00B736AB" w:rsidRDefault="00124700" w:rsidP="00147A04">
      <w:pPr>
        <w:jc w:val="both"/>
        <w:rPr>
          <w:rFonts w:cstheme="minorHAnsi"/>
          <w:sz w:val="24"/>
          <w:szCs w:val="24"/>
        </w:rPr>
      </w:pPr>
    </w:p>
    <w:p w:rsidR="00147A04" w:rsidRPr="00B736AB" w:rsidRDefault="00240892" w:rsidP="00147A04">
      <w:pPr>
        <w:jc w:val="both"/>
        <w:rPr>
          <w:rFonts w:cstheme="minorHAnsi"/>
          <w:sz w:val="24"/>
          <w:szCs w:val="24"/>
        </w:rPr>
      </w:pPr>
      <w:r w:rsidRPr="00B736AB">
        <w:rPr>
          <w:rFonts w:cstheme="minorHAnsi"/>
          <w:sz w:val="24"/>
          <w:szCs w:val="24"/>
        </w:rPr>
        <w:t>L</w:t>
      </w:r>
      <w:r w:rsidR="00BE131E" w:rsidRPr="00B736AB">
        <w:rPr>
          <w:rFonts w:cstheme="minorHAnsi"/>
          <w:sz w:val="24"/>
          <w:szCs w:val="24"/>
        </w:rPr>
        <w:t>a Superintendencia de Compañías, Valores y Seguros, como parte de la Función de Transparencia y Control Social, ha dado cumplimiento a los proyectos planificados en el POA Institucional 2021, relacionados a los Objetivos Estratégicos Institucionales; cuyo logro fue posible a través del apoyo de las Unidades que la conforman, a pesar de l</w:t>
      </w:r>
      <w:r w:rsidR="00147A04" w:rsidRPr="00B736AB">
        <w:rPr>
          <w:rFonts w:cstheme="minorHAnsi"/>
          <w:sz w:val="24"/>
          <w:szCs w:val="24"/>
        </w:rPr>
        <w:t xml:space="preserve">a Crisis de Salud Mundial </w:t>
      </w:r>
      <w:r w:rsidR="00BE131E" w:rsidRPr="00B736AB">
        <w:rPr>
          <w:rFonts w:cstheme="minorHAnsi"/>
          <w:sz w:val="24"/>
          <w:szCs w:val="24"/>
        </w:rPr>
        <w:t xml:space="preserve">que </w:t>
      </w:r>
      <w:r w:rsidR="00147A04" w:rsidRPr="00B736AB">
        <w:rPr>
          <w:rFonts w:cstheme="minorHAnsi"/>
          <w:sz w:val="24"/>
          <w:szCs w:val="24"/>
        </w:rPr>
        <w:t>ha sido un limitante para el desarrollo normal de las actividades desde el año 2020</w:t>
      </w:r>
      <w:r w:rsidR="00BE131E" w:rsidRPr="00B736AB">
        <w:rPr>
          <w:rFonts w:cstheme="minorHAnsi"/>
          <w:sz w:val="24"/>
          <w:szCs w:val="24"/>
        </w:rPr>
        <w:t>.</w:t>
      </w:r>
      <w:r w:rsidR="00147A04" w:rsidRPr="00B736AB">
        <w:rPr>
          <w:rFonts w:cstheme="minorHAnsi"/>
          <w:sz w:val="24"/>
          <w:szCs w:val="24"/>
        </w:rPr>
        <w:t xml:space="preserve"> </w:t>
      </w:r>
    </w:p>
    <w:p w:rsidR="001A1F79" w:rsidRPr="00B736AB" w:rsidRDefault="001A1F79" w:rsidP="001A1F79">
      <w:pPr>
        <w:jc w:val="both"/>
        <w:rPr>
          <w:rFonts w:cstheme="minorHAnsi"/>
          <w:sz w:val="24"/>
          <w:szCs w:val="24"/>
        </w:rPr>
      </w:pPr>
      <w:r w:rsidRPr="00B736AB">
        <w:rPr>
          <w:rFonts w:cstheme="minorHAnsi"/>
          <w:sz w:val="24"/>
          <w:szCs w:val="24"/>
        </w:rPr>
        <w:t xml:space="preserve">Las actividades de las Intendencias Regionales de Quito y Ambato son similares en su contenido operacional a la de la Oficina Matriz. </w:t>
      </w:r>
    </w:p>
    <w:p w:rsidR="001A1F79" w:rsidRPr="00B736AB" w:rsidRDefault="001A1F79" w:rsidP="001A1F79">
      <w:pPr>
        <w:jc w:val="both"/>
        <w:rPr>
          <w:rFonts w:cstheme="minorHAnsi"/>
          <w:sz w:val="24"/>
          <w:szCs w:val="24"/>
        </w:rPr>
      </w:pPr>
      <w:r w:rsidRPr="00B736AB">
        <w:rPr>
          <w:rFonts w:cstheme="minorHAnsi"/>
          <w:sz w:val="24"/>
          <w:szCs w:val="24"/>
        </w:rPr>
        <w:t>El objetivo de este informe es comunicar el resultado y grado de cumplimiento de las actividades desarrolladas por las unidades administrativas, conforme al Estatuto Orgánico de Gestión Organizacional por procesos de la Superintendencia de Compañías.</w:t>
      </w:r>
    </w:p>
    <w:p w:rsidR="001A1F79" w:rsidRPr="00B736AB" w:rsidRDefault="001A1F79" w:rsidP="00147A04">
      <w:pPr>
        <w:jc w:val="both"/>
        <w:rPr>
          <w:rFonts w:cstheme="minorHAnsi"/>
          <w:sz w:val="24"/>
          <w:szCs w:val="24"/>
        </w:rPr>
      </w:pPr>
      <w:r w:rsidRPr="00B736AB">
        <w:rPr>
          <w:rFonts w:cstheme="minorHAnsi"/>
          <w:sz w:val="24"/>
          <w:szCs w:val="24"/>
        </w:rPr>
        <w:t xml:space="preserve">En este sentido, la Intendencia Regional de Quito planifica, dirige, coordina y controla las actividades ejecutadas </w:t>
      </w:r>
      <w:r w:rsidR="0023392F" w:rsidRPr="00B736AB">
        <w:rPr>
          <w:rFonts w:cstheme="minorHAnsi"/>
          <w:sz w:val="24"/>
          <w:szCs w:val="24"/>
        </w:rPr>
        <w:t>por las compañías pertenecientes al sector societario, mercado de valores y seguros, mediante su</w:t>
      </w:r>
      <w:r w:rsidR="00AF51E6" w:rsidRPr="00B736AB">
        <w:rPr>
          <w:rFonts w:cstheme="minorHAnsi"/>
          <w:sz w:val="24"/>
          <w:szCs w:val="24"/>
        </w:rPr>
        <w:t xml:space="preserve"> vigilancia</w:t>
      </w:r>
      <w:r w:rsidR="00A41EA9" w:rsidRPr="00B736AB">
        <w:rPr>
          <w:rFonts w:cstheme="minorHAnsi"/>
          <w:sz w:val="24"/>
          <w:szCs w:val="24"/>
        </w:rPr>
        <w:t>,</w:t>
      </w:r>
      <w:r w:rsidR="00AF51E6" w:rsidRPr="00B736AB">
        <w:rPr>
          <w:rFonts w:cstheme="minorHAnsi"/>
          <w:sz w:val="24"/>
          <w:szCs w:val="24"/>
        </w:rPr>
        <w:t xml:space="preserve"> control</w:t>
      </w:r>
      <w:r w:rsidR="00A41EA9" w:rsidRPr="00B736AB">
        <w:rPr>
          <w:rFonts w:cstheme="minorHAnsi"/>
          <w:sz w:val="24"/>
          <w:szCs w:val="24"/>
        </w:rPr>
        <w:t xml:space="preserve"> y promoción</w:t>
      </w:r>
      <w:r w:rsidR="0023392F" w:rsidRPr="00B736AB">
        <w:rPr>
          <w:rFonts w:cstheme="minorHAnsi"/>
          <w:sz w:val="24"/>
          <w:szCs w:val="24"/>
        </w:rPr>
        <w:t>; así como la aprobación de la constitución, disolución</w:t>
      </w:r>
      <w:r w:rsidR="00A41EA9" w:rsidRPr="00B736AB">
        <w:rPr>
          <w:rFonts w:cstheme="minorHAnsi"/>
          <w:sz w:val="24"/>
          <w:szCs w:val="24"/>
        </w:rPr>
        <w:t xml:space="preserve"> y liquidación de las compañías; todo lo cual ha contribuido al desarrollo confiable y transparente de la actividad empresarial del país.</w:t>
      </w:r>
    </w:p>
    <w:p w:rsidR="00807027" w:rsidRPr="00B736AB" w:rsidRDefault="00147A04" w:rsidP="00147A04">
      <w:pPr>
        <w:jc w:val="both"/>
        <w:rPr>
          <w:rFonts w:cstheme="minorHAnsi"/>
          <w:sz w:val="24"/>
          <w:szCs w:val="24"/>
        </w:rPr>
      </w:pPr>
      <w:r w:rsidRPr="00B736AB">
        <w:rPr>
          <w:rFonts w:cstheme="minorHAnsi"/>
          <w:sz w:val="24"/>
          <w:szCs w:val="24"/>
        </w:rPr>
        <w:t>En nuestro afán de servicio, se ha brindado permanente asistencia a nuestros usuarios a través de las herramientas disponibles; como es el Portal Web Institucional www.supercias.gob.ec; en el que se encuentra amplia y variada información que facilita la ejecución de 5</w:t>
      </w:r>
      <w:r w:rsidR="006B50D1">
        <w:rPr>
          <w:rFonts w:cstheme="minorHAnsi"/>
          <w:sz w:val="24"/>
          <w:szCs w:val="24"/>
        </w:rPr>
        <w:t>6</w:t>
      </w:r>
      <w:r w:rsidRPr="00B736AB">
        <w:rPr>
          <w:rFonts w:cstheme="minorHAnsi"/>
          <w:sz w:val="24"/>
          <w:szCs w:val="24"/>
        </w:rPr>
        <w:t xml:space="preserve"> trámites en línea, correspondientes a 13 societarios, 21 mercado de valores, 17 seguros y 5 generales;  así como, resolviendo las inquietudes de los usuarios.</w:t>
      </w:r>
    </w:p>
    <w:p w:rsidR="002474CB" w:rsidRPr="00B736AB" w:rsidRDefault="002474CB" w:rsidP="002474CB">
      <w:pPr>
        <w:jc w:val="both"/>
        <w:rPr>
          <w:rFonts w:cstheme="minorHAnsi"/>
          <w:sz w:val="24"/>
          <w:szCs w:val="24"/>
        </w:rPr>
      </w:pPr>
      <w:r w:rsidRPr="00B736AB">
        <w:rPr>
          <w:rFonts w:cstheme="minorHAnsi"/>
          <w:sz w:val="24"/>
          <w:szCs w:val="24"/>
        </w:rPr>
        <w:t>La jurisdicción de la Intendencia Regional de Quito comprende las provincias de: Carchi, Imbabura, Pichincha, Santo Domingo de los Tsáchilas, Esmeraldas, Orellana, Napo y Sucumbíos. Mientras que la jurisdicción de la Intendencia Regional de Ambato comprende las provincias de Bolívar, Cotopaxi, Chimborazo, Pastaza y Tungurahua.</w:t>
      </w:r>
    </w:p>
    <w:p w:rsidR="002474CB" w:rsidRPr="00B736AB" w:rsidRDefault="002474CB" w:rsidP="002474CB">
      <w:pPr>
        <w:jc w:val="both"/>
        <w:rPr>
          <w:rFonts w:cstheme="minorHAnsi"/>
          <w:sz w:val="24"/>
          <w:szCs w:val="24"/>
        </w:rPr>
      </w:pPr>
      <w:r w:rsidRPr="00B736AB">
        <w:rPr>
          <w:rFonts w:cstheme="minorHAnsi"/>
          <w:sz w:val="24"/>
          <w:szCs w:val="24"/>
        </w:rPr>
        <w:t>Por ser las Intendencias Regionales de Quito y Ambato, parte de la Superintendencia de Compañías y Valores, también constan en la rendición de cuentas de la Máxima Autoridad. El detalle de la ejecución del Plan Operativo Anual 2021, de la Institución, se encuentra en el Anexo que se despliega en la página web de este Organismo de Control.</w:t>
      </w:r>
    </w:p>
    <w:p w:rsidR="00B736AB" w:rsidRDefault="00B736AB" w:rsidP="002474CB">
      <w:pPr>
        <w:jc w:val="both"/>
        <w:rPr>
          <w:rFonts w:cstheme="minorHAnsi"/>
          <w:sz w:val="24"/>
          <w:szCs w:val="24"/>
        </w:rPr>
      </w:pPr>
    </w:p>
    <w:p w:rsidR="002474CB" w:rsidRPr="00B736AB" w:rsidRDefault="002474CB" w:rsidP="002474CB">
      <w:pPr>
        <w:jc w:val="both"/>
        <w:rPr>
          <w:rFonts w:cstheme="minorHAnsi"/>
          <w:sz w:val="24"/>
          <w:szCs w:val="24"/>
        </w:rPr>
      </w:pPr>
      <w:r w:rsidRPr="00B736AB">
        <w:rPr>
          <w:rFonts w:cstheme="minorHAnsi"/>
          <w:sz w:val="24"/>
          <w:szCs w:val="24"/>
        </w:rPr>
        <w:t>Presupuestariamente, el registro de los Ingresos se encuentra Centralizado en la Oficina Matriz, código EOD 9999 “Planta Central”, de conformidad al modelo de gestión aprobado; mientras que los Gastos de la EOD 0001 “Intendencia Regional de Quito”, se asignan para las Intendencias Regionales de Quito y Ambato.</w:t>
      </w:r>
    </w:p>
    <w:p w:rsidR="00F402EC" w:rsidRPr="00B736AB" w:rsidRDefault="002474CB" w:rsidP="002474CB">
      <w:pPr>
        <w:jc w:val="both"/>
        <w:rPr>
          <w:rFonts w:cstheme="minorHAnsi"/>
          <w:sz w:val="24"/>
          <w:szCs w:val="24"/>
        </w:rPr>
      </w:pPr>
      <w:r w:rsidRPr="00B736AB">
        <w:rPr>
          <w:rFonts w:cstheme="minorHAnsi"/>
          <w:sz w:val="24"/>
          <w:szCs w:val="24"/>
        </w:rPr>
        <w:t xml:space="preserve">La ejecución presupuestaria en el año 2021 de la EOD “Intendencia Regional de Quito” cuyo ámbito de gestión corresponde a Quito y Ambato, alcanzó el </w:t>
      </w:r>
      <w:r w:rsidR="00847D63" w:rsidRPr="00B736AB">
        <w:rPr>
          <w:rFonts w:cstheme="minorHAnsi"/>
          <w:sz w:val="24"/>
          <w:szCs w:val="24"/>
        </w:rPr>
        <w:t>98</w:t>
      </w:r>
      <w:r w:rsidRPr="00B736AB">
        <w:rPr>
          <w:rFonts w:cstheme="minorHAnsi"/>
          <w:sz w:val="24"/>
          <w:szCs w:val="24"/>
        </w:rPr>
        <w:t xml:space="preserve">,00%, que corresponde a USD </w:t>
      </w:r>
      <w:r w:rsidR="00847D63" w:rsidRPr="00B736AB">
        <w:rPr>
          <w:rFonts w:cstheme="minorHAnsi"/>
          <w:sz w:val="24"/>
          <w:szCs w:val="24"/>
        </w:rPr>
        <w:t>208.175.08</w:t>
      </w:r>
      <w:r w:rsidRPr="00B736AB">
        <w:rPr>
          <w:rFonts w:cstheme="minorHAnsi"/>
          <w:sz w:val="24"/>
          <w:szCs w:val="24"/>
        </w:rPr>
        <w:t xml:space="preserve"> valor que se registra en el sistema </w:t>
      </w:r>
      <w:proofErr w:type="spellStart"/>
      <w:r w:rsidRPr="00B736AB">
        <w:rPr>
          <w:rFonts w:cstheme="minorHAnsi"/>
          <w:sz w:val="24"/>
          <w:szCs w:val="24"/>
        </w:rPr>
        <w:t>eSIGEF</w:t>
      </w:r>
      <w:proofErr w:type="spellEnd"/>
      <w:r w:rsidRPr="00B736AB">
        <w:rPr>
          <w:rFonts w:cstheme="minorHAnsi"/>
          <w:sz w:val="24"/>
          <w:szCs w:val="24"/>
        </w:rPr>
        <w:t>, al 31 de diciembre de 202</w:t>
      </w:r>
      <w:r w:rsidR="00F402EC" w:rsidRPr="00B736AB">
        <w:rPr>
          <w:rFonts w:cstheme="minorHAnsi"/>
          <w:sz w:val="24"/>
          <w:szCs w:val="24"/>
        </w:rPr>
        <w:t>1</w:t>
      </w:r>
      <w:r w:rsidR="00847D63" w:rsidRPr="00B736AB">
        <w:rPr>
          <w:rFonts w:cstheme="minorHAnsi"/>
          <w:sz w:val="24"/>
          <w:szCs w:val="24"/>
        </w:rPr>
        <w:t>, el monto que se devolvió al Ministerio de Finanzas fue USD 4.124.23</w:t>
      </w:r>
      <w:r w:rsidRPr="00B736AB">
        <w:rPr>
          <w:rFonts w:cstheme="minorHAnsi"/>
          <w:sz w:val="24"/>
          <w:szCs w:val="24"/>
        </w:rPr>
        <w:t>; no</w:t>
      </w:r>
      <w:r w:rsidR="00847D63" w:rsidRPr="00B736AB">
        <w:rPr>
          <w:rFonts w:cstheme="minorHAnsi"/>
          <w:sz w:val="24"/>
          <w:szCs w:val="24"/>
        </w:rPr>
        <w:t xml:space="preserve"> existen anticipos por devengar</w:t>
      </w:r>
      <w:r w:rsidRPr="00B736AB">
        <w:rPr>
          <w:rFonts w:cstheme="minorHAnsi"/>
          <w:sz w:val="24"/>
          <w:szCs w:val="24"/>
        </w:rPr>
        <w:t xml:space="preserve">. </w:t>
      </w:r>
    </w:p>
    <w:p w:rsidR="00201D39" w:rsidRPr="00B736AB" w:rsidRDefault="00201D39" w:rsidP="00201D39">
      <w:pPr>
        <w:jc w:val="both"/>
        <w:rPr>
          <w:rFonts w:cstheme="minorHAnsi"/>
          <w:sz w:val="24"/>
          <w:szCs w:val="24"/>
        </w:rPr>
      </w:pPr>
      <w:r w:rsidRPr="00B736AB">
        <w:rPr>
          <w:rFonts w:cstheme="minorHAnsi"/>
          <w:sz w:val="24"/>
          <w:szCs w:val="24"/>
        </w:rPr>
        <w:t>Con la finalidad de brindar un mejor servicio a los usuarios y ciudadanía, propiciando una cultura de servicio en términos de calidad, eficiencia y eficacia, a través del mejoramiento e implementación de sistemas de gestión adecuados, principalmente en las áreas normativa, tecnológica, organizativa, de difusión, planeación y seguimiento; se plantearon objetivos, los mismos que se cumplieron, gracias al aporte del personal asignado y junto al equipo de trabajo multidisciplinario. La Superintendencia de Compañías, Valores y Seguros continuó en el año 2021 con su objetivo fijado que es el fortalecimiento de servicios a los usuarios y control al sector empresarial, de mercado de valores y seguros del país</w:t>
      </w:r>
      <w:r w:rsidR="00FB5CFA" w:rsidRPr="00B736AB">
        <w:rPr>
          <w:rFonts w:cstheme="minorHAnsi"/>
          <w:sz w:val="24"/>
          <w:szCs w:val="24"/>
        </w:rPr>
        <w:t>; en ese sentido, la Intendencia Regional de Quito</w:t>
      </w:r>
      <w:r w:rsidR="00C45E59" w:rsidRPr="00B736AB">
        <w:rPr>
          <w:rFonts w:cstheme="minorHAnsi"/>
          <w:sz w:val="24"/>
          <w:szCs w:val="24"/>
        </w:rPr>
        <w:t xml:space="preserve"> y Ambato</w:t>
      </w:r>
      <w:r w:rsidR="00FB5CFA" w:rsidRPr="00B736AB">
        <w:rPr>
          <w:rFonts w:cstheme="minorHAnsi"/>
          <w:sz w:val="24"/>
          <w:szCs w:val="24"/>
        </w:rPr>
        <w:t xml:space="preserve"> atendi</w:t>
      </w:r>
      <w:r w:rsidR="00C45E59" w:rsidRPr="00B736AB">
        <w:rPr>
          <w:rFonts w:cstheme="minorHAnsi"/>
          <w:sz w:val="24"/>
          <w:szCs w:val="24"/>
        </w:rPr>
        <w:t>eron</w:t>
      </w:r>
      <w:r w:rsidR="00FB5CFA" w:rsidRPr="00B736AB">
        <w:rPr>
          <w:rFonts w:cstheme="minorHAnsi"/>
          <w:sz w:val="24"/>
          <w:szCs w:val="24"/>
        </w:rPr>
        <w:t xml:space="preserve"> a 116.992 usuarios</w:t>
      </w:r>
      <w:r w:rsidRPr="00B736AB">
        <w:rPr>
          <w:rFonts w:cstheme="minorHAnsi"/>
          <w:sz w:val="24"/>
          <w:szCs w:val="24"/>
        </w:rPr>
        <w:t>.</w:t>
      </w:r>
    </w:p>
    <w:p w:rsidR="00FB5CFA" w:rsidRPr="00B736AB" w:rsidRDefault="00FB5CFA" w:rsidP="002474CB">
      <w:pPr>
        <w:jc w:val="both"/>
        <w:rPr>
          <w:rFonts w:cstheme="minorHAnsi"/>
          <w:sz w:val="24"/>
          <w:szCs w:val="24"/>
        </w:rPr>
      </w:pPr>
      <w:r w:rsidRPr="00B736AB">
        <w:rPr>
          <w:rFonts w:cstheme="minorHAnsi"/>
          <w:sz w:val="24"/>
          <w:szCs w:val="24"/>
        </w:rPr>
        <w:t xml:space="preserve">Adicionalmente, se cumplió con el 97.16% de los objetivos institucionales, que están alineados al Plan Estratégico Institucional 2018-2021; entre los cuales podemos mencionar: </w:t>
      </w:r>
    </w:p>
    <w:p w:rsidR="00FB5CFA" w:rsidRPr="00B736AB" w:rsidRDefault="00124700" w:rsidP="00FB5CFA">
      <w:pPr>
        <w:pStyle w:val="Prrafodelista"/>
        <w:numPr>
          <w:ilvl w:val="0"/>
          <w:numId w:val="1"/>
        </w:numPr>
        <w:jc w:val="both"/>
        <w:rPr>
          <w:rFonts w:cstheme="minorHAnsi"/>
          <w:sz w:val="24"/>
          <w:szCs w:val="24"/>
        </w:rPr>
      </w:pPr>
      <w:r w:rsidRPr="00B736AB">
        <w:rPr>
          <w:rFonts w:cstheme="minorHAnsi"/>
          <w:sz w:val="24"/>
          <w:szCs w:val="24"/>
        </w:rPr>
        <w:t>H</w:t>
      </w:r>
      <w:r w:rsidR="00FB5CFA" w:rsidRPr="00B736AB">
        <w:rPr>
          <w:rFonts w:cstheme="minorHAnsi"/>
          <w:sz w:val="24"/>
          <w:szCs w:val="24"/>
        </w:rPr>
        <w:t>aber incrementado las acciones de control en un 25%;</w:t>
      </w:r>
    </w:p>
    <w:p w:rsidR="00FB5CFA" w:rsidRPr="00B736AB" w:rsidRDefault="00124700" w:rsidP="00FB5CFA">
      <w:pPr>
        <w:pStyle w:val="Prrafodelista"/>
        <w:numPr>
          <w:ilvl w:val="0"/>
          <w:numId w:val="1"/>
        </w:numPr>
        <w:jc w:val="both"/>
        <w:rPr>
          <w:rFonts w:cstheme="minorHAnsi"/>
          <w:sz w:val="24"/>
          <w:szCs w:val="24"/>
        </w:rPr>
      </w:pPr>
      <w:r w:rsidRPr="00B736AB">
        <w:rPr>
          <w:rFonts w:cstheme="minorHAnsi"/>
          <w:sz w:val="24"/>
          <w:szCs w:val="24"/>
        </w:rPr>
        <w:t>H</w:t>
      </w:r>
      <w:r w:rsidR="00FB5CFA" w:rsidRPr="00B736AB">
        <w:rPr>
          <w:rFonts w:cstheme="minorHAnsi"/>
          <w:sz w:val="24"/>
          <w:szCs w:val="24"/>
        </w:rPr>
        <w:t>aber incrementado el número de empresas que utilizan el Mercado de Valores para financiar sus actividades en un 25%;</w:t>
      </w:r>
    </w:p>
    <w:p w:rsidR="00FB5CFA" w:rsidRPr="00B736AB" w:rsidRDefault="00124700" w:rsidP="00FB5CFA">
      <w:pPr>
        <w:pStyle w:val="Prrafodelista"/>
        <w:numPr>
          <w:ilvl w:val="0"/>
          <w:numId w:val="1"/>
        </w:numPr>
        <w:jc w:val="both"/>
        <w:rPr>
          <w:rFonts w:cstheme="minorHAnsi"/>
          <w:sz w:val="24"/>
          <w:szCs w:val="24"/>
        </w:rPr>
      </w:pPr>
      <w:r w:rsidRPr="00B736AB">
        <w:rPr>
          <w:rFonts w:cstheme="minorHAnsi"/>
          <w:sz w:val="24"/>
          <w:szCs w:val="24"/>
        </w:rPr>
        <w:t>O</w:t>
      </w:r>
      <w:r w:rsidR="00FB5CFA" w:rsidRPr="00B736AB">
        <w:rPr>
          <w:rFonts w:cstheme="minorHAnsi"/>
          <w:sz w:val="24"/>
          <w:szCs w:val="24"/>
        </w:rPr>
        <w:t>btener un promedio de satisfacción de los usuarios sobre los procesos automatizados del 90%;</w:t>
      </w:r>
    </w:p>
    <w:p w:rsidR="00FB5CFA" w:rsidRPr="00B736AB" w:rsidRDefault="00124700" w:rsidP="00FB5CFA">
      <w:pPr>
        <w:pStyle w:val="Prrafodelista"/>
        <w:numPr>
          <w:ilvl w:val="0"/>
          <w:numId w:val="1"/>
        </w:numPr>
        <w:jc w:val="both"/>
        <w:rPr>
          <w:rFonts w:cstheme="minorHAnsi"/>
          <w:sz w:val="24"/>
          <w:szCs w:val="24"/>
        </w:rPr>
      </w:pPr>
      <w:r w:rsidRPr="00B736AB">
        <w:rPr>
          <w:rFonts w:cstheme="minorHAnsi"/>
          <w:sz w:val="24"/>
          <w:szCs w:val="24"/>
        </w:rPr>
        <w:t>O</w:t>
      </w:r>
      <w:r w:rsidR="00FB5CFA" w:rsidRPr="00B736AB">
        <w:rPr>
          <w:rFonts w:cstheme="minorHAnsi"/>
          <w:sz w:val="24"/>
          <w:szCs w:val="24"/>
        </w:rPr>
        <w:t>btener un 90% de calificaciones como “Excelente” en la gestión de la Superintendencia de Compañías, Valores y Seguros;</w:t>
      </w:r>
    </w:p>
    <w:p w:rsidR="00FB5CFA" w:rsidRPr="00B736AB" w:rsidRDefault="00124700" w:rsidP="00FB5CFA">
      <w:pPr>
        <w:pStyle w:val="Prrafodelista"/>
        <w:numPr>
          <w:ilvl w:val="0"/>
          <w:numId w:val="1"/>
        </w:numPr>
        <w:jc w:val="both"/>
        <w:rPr>
          <w:rFonts w:cstheme="minorHAnsi"/>
          <w:sz w:val="24"/>
          <w:szCs w:val="24"/>
        </w:rPr>
      </w:pPr>
      <w:r w:rsidRPr="00B736AB">
        <w:rPr>
          <w:rFonts w:cstheme="minorHAnsi"/>
          <w:sz w:val="24"/>
          <w:szCs w:val="24"/>
        </w:rPr>
        <w:t>R</w:t>
      </w:r>
      <w:r w:rsidR="00FB5CFA" w:rsidRPr="00B736AB">
        <w:rPr>
          <w:rFonts w:cstheme="minorHAnsi"/>
          <w:sz w:val="24"/>
          <w:szCs w:val="24"/>
        </w:rPr>
        <w:t xml:space="preserve">educir el índice de vencimiento de cartera en un 25%; y, </w:t>
      </w:r>
    </w:p>
    <w:p w:rsidR="00FB5CFA" w:rsidRPr="00B736AB" w:rsidRDefault="00124700" w:rsidP="00FB5CFA">
      <w:pPr>
        <w:pStyle w:val="Prrafodelista"/>
        <w:numPr>
          <w:ilvl w:val="0"/>
          <w:numId w:val="1"/>
        </w:numPr>
        <w:jc w:val="both"/>
        <w:rPr>
          <w:rFonts w:cstheme="minorHAnsi"/>
          <w:sz w:val="24"/>
          <w:szCs w:val="24"/>
        </w:rPr>
      </w:pPr>
      <w:r w:rsidRPr="00B736AB">
        <w:rPr>
          <w:rFonts w:cstheme="minorHAnsi"/>
          <w:sz w:val="24"/>
          <w:szCs w:val="24"/>
        </w:rPr>
        <w:t>I</w:t>
      </w:r>
      <w:r w:rsidR="00FB5CFA" w:rsidRPr="00B736AB">
        <w:rPr>
          <w:rFonts w:cstheme="minorHAnsi"/>
          <w:sz w:val="24"/>
          <w:szCs w:val="24"/>
        </w:rPr>
        <w:t>ncrementar el número de consultas de información generada por la Superintendencia de Compañías, Valores y Seguros en un 50%.</w:t>
      </w:r>
    </w:p>
    <w:p w:rsidR="00124700" w:rsidRPr="00B736AB" w:rsidRDefault="00124700" w:rsidP="00A00582">
      <w:pPr>
        <w:jc w:val="both"/>
        <w:rPr>
          <w:rFonts w:cstheme="minorHAnsi"/>
          <w:sz w:val="24"/>
          <w:szCs w:val="24"/>
        </w:rPr>
      </w:pPr>
    </w:p>
    <w:p w:rsidR="00124700" w:rsidRPr="00B736AB" w:rsidRDefault="00124700" w:rsidP="00A00582">
      <w:pPr>
        <w:jc w:val="both"/>
        <w:rPr>
          <w:rFonts w:cstheme="minorHAnsi"/>
          <w:sz w:val="24"/>
          <w:szCs w:val="24"/>
        </w:rPr>
      </w:pPr>
    </w:p>
    <w:p w:rsidR="00A00582" w:rsidRPr="00B736AB" w:rsidRDefault="002474CB" w:rsidP="00A00582">
      <w:pPr>
        <w:jc w:val="both"/>
        <w:rPr>
          <w:rFonts w:cstheme="minorHAnsi"/>
          <w:sz w:val="24"/>
          <w:szCs w:val="24"/>
        </w:rPr>
      </w:pPr>
      <w:r w:rsidRPr="00B736AB">
        <w:rPr>
          <w:rFonts w:cstheme="minorHAnsi"/>
          <w:sz w:val="24"/>
          <w:szCs w:val="24"/>
        </w:rPr>
        <w:t>En el ejercicio fiscal 202</w:t>
      </w:r>
      <w:r w:rsidR="00F402EC" w:rsidRPr="00B736AB">
        <w:rPr>
          <w:rFonts w:cstheme="minorHAnsi"/>
          <w:sz w:val="24"/>
          <w:szCs w:val="24"/>
        </w:rPr>
        <w:t>1</w:t>
      </w:r>
      <w:r w:rsidRPr="00B736AB">
        <w:rPr>
          <w:rFonts w:cstheme="minorHAnsi"/>
          <w:sz w:val="24"/>
          <w:szCs w:val="24"/>
        </w:rPr>
        <w:t xml:space="preserve">, las áreas requirentes remitieron al Área de Adquisiciones, </w:t>
      </w:r>
      <w:r w:rsidR="00FB5CFA" w:rsidRPr="00B736AB">
        <w:rPr>
          <w:rFonts w:cstheme="minorHAnsi"/>
          <w:sz w:val="24"/>
          <w:szCs w:val="24"/>
        </w:rPr>
        <w:t>cuarenta</w:t>
      </w:r>
      <w:r w:rsidRPr="00B736AB">
        <w:rPr>
          <w:rFonts w:cstheme="minorHAnsi"/>
          <w:sz w:val="24"/>
          <w:szCs w:val="24"/>
        </w:rPr>
        <w:t xml:space="preserve">  procesos de contratación</w:t>
      </w:r>
      <w:r w:rsidR="00FB5CFA" w:rsidRPr="00B736AB">
        <w:rPr>
          <w:rFonts w:cstheme="minorHAnsi"/>
          <w:sz w:val="24"/>
          <w:szCs w:val="24"/>
        </w:rPr>
        <w:t xml:space="preserve"> (37 por ínfima cuantía y 3 por catálogo electrónico)</w:t>
      </w:r>
      <w:r w:rsidRPr="00B736AB">
        <w:rPr>
          <w:rFonts w:cstheme="minorHAnsi"/>
          <w:sz w:val="24"/>
          <w:szCs w:val="24"/>
        </w:rPr>
        <w:t>, los mismos que fueron gestionados aplicando, en cada caso, los distintos procedimientos de contratación contemplados en la Ley Orgánica del Servicio Nacional de Contratación Pública; su Reglamento General; las resoluciones del SERCOP; y, la demás normativa vigente según corresponda. Del total de procesos</w:t>
      </w:r>
      <w:r w:rsidR="00A00582" w:rsidRPr="00B736AB">
        <w:rPr>
          <w:rFonts w:cstheme="minorHAnsi"/>
          <w:sz w:val="24"/>
          <w:szCs w:val="24"/>
        </w:rPr>
        <w:t>,</w:t>
      </w:r>
      <w:r w:rsidRPr="00B736AB">
        <w:rPr>
          <w:rFonts w:cstheme="minorHAnsi"/>
          <w:sz w:val="24"/>
          <w:szCs w:val="24"/>
        </w:rPr>
        <w:t xml:space="preserve"> fueron adjudicados en el 100%</w:t>
      </w:r>
      <w:r w:rsidR="00A00582" w:rsidRPr="00B736AB">
        <w:rPr>
          <w:rFonts w:cstheme="minorHAnsi"/>
          <w:sz w:val="24"/>
          <w:szCs w:val="24"/>
        </w:rPr>
        <w:t>, por un monto de USD 102.725.68</w:t>
      </w:r>
      <w:r w:rsidRPr="00B736AB">
        <w:rPr>
          <w:rFonts w:cstheme="minorHAnsi"/>
          <w:sz w:val="24"/>
          <w:szCs w:val="24"/>
        </w:rPr>
        <w:t xml:space="preserve">. </w:t>
      </w:r>
      <w:r w:rsidR="00A00582" w:rsidRPr="00B736AB">
        <w:rPr>
          <w:rFonts w:cstheme="minorHAnsi"/>
          <w:sz w:val="24"/>
          <w:szCs w:val="24"/>
        </w:rPr>
        <w:t>Así también, se re</w:t>
      </w:r>
      <w:r w:rsidR="00031300">
        <w:rPr>
          <w:rFonts w:cstheme="minorHAnsi"/>
          <w:sz w:val="24"/>
          <w:szCs w:val="24"/>
        </w:rPr>
        <w:t>alizó la donación de USD 12.622,</w:t>
      </w:r>
      <w:r w:rsidR="00A00582" w:rsidRPr="00B736AB">
        <w:rPr>
          <w:rFonts w:cstheme="minorHAnsi"/>
          <w:sz w:val="24"/>
          <w:szCs w:val="24"/>
        </w:rPr>
        <w:t>86 al Ministerio de Educación y REMAR.</w:t>
      </w:r>
    </w:p>
    <w:p w:rsidR="00A00582" w:rsidRPr="00B736AB" w:rsidRDefault="00A00582" w:rsidP="002474CB">
      <w:pPr>
        <w:jc w:val="both"/>
        <w:rPr>
          <w:rFonts w:cstheme="minorHAnsi"/>
          <w:sz w:val="24"/>
          <w:szCs w:val="24"/>
        </w:rPr>
      </w:pPr>
      <w:r w:rsidRPr="00B736AB">
        <w:rPr>
          <w:rFonts w:cstheme="minorHAnsi"/>
          <w:sz w:val="24"/>
          <w:szCs w:val="24"/>
        </w:rPr>
        <w:t>Cabe señalar que en año 2021 no existieron observaciones de las entidades pertenecientes a la Función de Transparencia y Control Social y de la Procuraduría General del Estado.</w:t>
      </w:r>
    </w:p>
    <w:p w:rsidR="002474CB" w:rsidRPr="00B736AB" w:rsidRDefault="002474CB" w:rsidP="002474CB">
      <w:pPr>
        <w:jc w:val="both"/>
        <w:rPr>
          <w:rFonts w:cstheme="minorHAnsi"/>
          <w:sz w:val="24"/>
          <w:szCs w:val="24"/>
        </w:rPr>
      </w:pPr>
      <w:r w:rsidRPr="00B736AB">
        <w:rPr>
          <w:rFonts w:cstheme="minorHAnsi"/>
          <w:sz w:val="24"/>
          <w:szCs w:val="24"/>
        </w:rPr>
        <w:t>La gestión realizada por</w:t>
      </w:r>
      <w:r w:rsidR="00F402EC" w:rsidRPr="00B736AB">
        <w:rPr>
          <w:rFonts w:cstheme="minorHAnsi"/>
          <w:sz w:val="24"/>
          <w:szCs w:val="24"/>
        </w:rPr>
        <w:t xml:space="preserve"> </w:t>
      </w:r>
      <w:r w:rsidRPr="00B736AB">
        <w:rPr>
          <w:rFonts w:cstheme="minorHAnsi"/>
          <w:sz w:val="24"/>
          <w:szCs w:val="24"/>
        </w:rPr>
        <w:t>la Intendencia Regional de Quito de la Superintendencia de Compañías, Valores y Seguros ha sido posible gracias a la participación activa de los equipos de trabajo multidisciplinarios, quienes valoran la interacción diaria con nuestros usuarios para conocer sus necesidades y cumplir con el compromiso de servir a la ciudadanía.</w:t>
      </w:r>
    </w:p>
    <w:p w:rsidR="00031300" w:rsidRDefault="00031300" w:rsidP="002474CB">
      <w:pPr>
        <w:jc w:val="both"/>
        <w:rPr>
          <w:rFonts w:cstheme="minorHAnsi"/>
          <w:sz w:val="24"/>
          <w:szCs w:val="24"/>
        </w:rPr>
      </w:pPr>
    </w:p>
    <w:p w:rsidR="002474CB" w:rsidRPr="00B736AB" w:rsidRDefault="002474CB" w:rsidP="002474CB">
      <w:pPr>
        <w:jc w:val="both"/>
        <w:rPr>
          <w:rFonts w:cstheme="minorHAnsi"/>
          <w:sz w:val="24"/>
          <w:szCs w:val="24"/>
        </w:rPr>
      </w:pPr>
      <w:r w:rsidRPr="00B736AB">
        <w:rPr>
          <w:rFonts w:cstheme="minorHAnsi"/>
          <w:sz w:val="24"/>
          <w:szCs w:val="24"/>
        </w:rPr>
        <w:t>Estructuras administrativas:</w:t>
      </w:r>
    </w:p>
    <w:p w:rsidR="002474CB" w:rsidRPr="00B736AB" w:rsidRDefault="002474CB" w:rsidP="00A00582">
      <w:pPr>
        <w:pStyle w:val="Sinespaciado"/>
        <w:rPr>
          <w:rFonts w:cstheme="minorHAnsi"/>
          <w:sz w:val="24"/>
          <w:szCs w:val="24"/>
        </w:rPr>
      </w:pPr>
      <w:r w:rsidRPr="00B736AB">
        <w:rPr>
          <w:rFonts w:cstheme="minorHAnsi"/>
          <w:sz w:val="24"/>
          <w:szCs w:val="24"/>
        </w:rPr>
        <w:t>1. Dirección Regional de Procuraduría y Asesoría Institucional;</w:t>
      </w:r>
    </w:p>
    <w:p w:rsidR="002474CB" w:rsidRPr="00B736AB" w:rsidRDefault="002474CB" w:rsidP="00A00582">
      <w:pPr>
        <w:pStyle w:val="Sinespaciado"/>
        <w:rPr>
          <w:rFonts w:cstheme="minorHAnsi"/>
          <w:sz w:val="24"/>
          <w:szCs w:val="24"/>
        </w:rPr>
      </w:pPr>
      <w:r w:rsidRPr="00B736AB">
        <w:rPr>
          <w:rFonts w:cstheme="minorHAnsi"/>
          <w:sz w:val="24"/>
          <w:szCs w:val="24"/>
        </w:rPr>
        <w:t>2. Dirección Regional de Seguros;</w:t>
      </w:r>
    </w:p>
    <w:p w:rsidR="002474CB" w:rsidRPr="00B736AB" w:rsidRDefault="002474CB" w:rsidP="00A00582">
      <w:pPr>
        <w:pStyle w:val="Sinespaciado"/>
        <w:rPr>
          <w:rFonts w:cstheme="minorHAnsi"/>
          <w:sz w:val="24"/>
          <w:szCs w:val="24"/>
        </w:rPr>
      </w:pPr>
      <w:r w:rsidRPr="00B736AB">
        <w:rPr>
          <w:rFonts w:cstheme="minorHAnsi"/>
          <w:sz w:val="24"/>
          <w:szCs w:val="24"/>
        </w:rPr>
        <w:t>3. Dirección Regional de Mercado de Valores;</w:t>
      </w:r>
    </w:p>
    <w:p w:rsidR="002474CB" w:rsidRPr="00B736AB" w:rsidRDefault="002474CB" w:rsidP="00A00582">
      <w:pPr>
        <w:pStyle w:val="Sinespaciado"/>
        <w:rPr>
          <w:rFonts w:cstheme="minorHAnsi"/>
          <w:sz w:val="24"/>
          <w:szCs w:val="24"/>
        </w:rPr>
      </w:pPr>
      <w:r w:rsidRPr="00B736AB">
        <w:rPr>
          <w:rFonts w:cstheme="minorHAnsi"/>
          <w:sz w:val="24"/>
          <w:szCs w:val="24"/>
        </w:rPr>
        <w:t>4. Dirección Regional de Inspección, Control, Auditoría e Intervención;</w:t>
      </w:r>
    </w:p>
    <w:p w:rsidR="002474CB" w:rsidRPr="00B736AB" w:rsidRDefault="002474CB" w:rsidP="00A00582">
      <w:pPr>
        <w:pStyle w:val="Sinespaciado"/>
        <w:rPr>
          <w:rFonts w:cstheme="minorHAnsi"/>
          <w:sz w:val="24"/>
          <w:szCs w:val="24"/>
        </w:rPr>
      </w:pPr>
      <w:r w:rsidRPr="00B736AB">
        <w:rPr>
          <w:rFonts w:cstheme="minorHAnsi"/>
          <w:sz w:val="24"/>
          <w:szCs w:val="24"/>
        </w:rPr>
        <w:t>5. Dirección Regional de Actos Societarios y Disolución;</w:t>
      </w:r>
    </w:p>
    <w:p w:rsidR="002474CB" w:rsidRPr="00B736AB" w:rsidRDefault="002474CB" w:rsidP="00A00582">
      <w:pPr>
        <w:pStyle w:val="Sinespaciado"/>
        <w:rPr>
          <w:rFonts w:cstheme="minorHAnsi"/>
          <w:sz w:val="24"/>
          <w:szCs w:val="24"/>
        </w:rPr>
      </w:pPr>
      <w:r w:rsidRPr="00B736AB">
        <w:rPr>
          <w:rFonts w:cstheme="minorHAnsi"/>
          <w:sz w:val="24"/>
          <w:szCs w:val="24"/>
        </w:rPr>
        <w:t>6. Dirección Regional Administrativa y Financiera; y,</w:t>
      </w:r>
    </w:p>
    <w:p w:rsidR="002474CB" w:rsidRPr="00B736AB" w:rsidRDefault="002474CB" w:rsidP="00A00582">
      <w:pPr>
        <w:pStyle w:val="Sinespaciado"/>
        <w:rPr>
          <w:rFonts w:cstheme="minorHAnsi"/>
          <w:sz w:val="24"/>
          <w:szCs w:val="24"/>
        </w:rPr>
      </w:pPr>
      <w:r w:rsidRPr="00B736AB">
        <w:rPr>
          <w:rFonts w:cstheme="minorHAnsi"/>
          <w:sz w:val="24"/>
          <w:szCs w:val="24"/>
        </w:rPr>
        <w:t>7. Secretaría General.</w:t>
      </w:r>
    </w:p>
    <w:sectPr w:rsidR="002474CB" w:rsidRPr="00B736AB">
      <w:headerReference w:type="default" r:id="rId8"/>
      <w:footerReference w:type="default" r:id="rId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3AEE" w:rsidRDefault="00843AEE" w:rsidP="00124700">
      <w:pPr>
        <w:spacing w:after="0" w:line="240" w:lineRule="auto"/>
      </w:pPr>
      <w:r>
        <w:separator/>
      </w:r>
    </w:p>
  </w:endnote>
  <w:endnote w:type="continuationSeparator" w:id="0">
    <w:p w:rsidR="00843AEE" w:rsidRDefault="00843AEE" w:rsidP="001247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6927436"/>
      <w:docPartObj>
        <w:docPartGallery w:val="Page Numbers (Bottom of Page)"/>
        <w:docPartUnique/>
      </w:docPartObj>
    </w:sdtPr>
    <w:sdtEndPr/>
    <w:sdtContent>
      <w:sdt>
        <w:sdtPr>
          <w:id w:val="-1669238322"/>
          <w:docPartObj>
            <w:docPartGallery w:val="Page Numbers (Top of Page)"/>
            <w:docPartUnique/>
          </w:docPartObj>
        </w:sdtPr>
        <w:sdtEndPr/>
        <w:sdtContent>
          <w:p w:rsidR="009A0689" w:rsidRPr="001F2E29" w:rsidRDefault="009A0689" w:rsidP="009A0689">
            <w:pPr>
              <w:pStyle w:val="Piedepgina"/>
              <w:jc w:val="center"/>
              <w:rPr>
                <w:rFonts w:ascii="Arial" w:hAnsi="Arial" w:cs="Arial"/>
                <w:sz w:val="16"/>
                <w:szCs w:val="16"/>
              </w:rPr>
            </w:pPr>
          </w:p>
          <w:p w:rsidR="009A0689" w:rsidRPr="001F2E29" w:rsidRDefault="009A0689" w:rsidP="009A0689">
            <w:pPr>
              <w:pStyle w:val="Piedepgina"/>
              <w:rPr>
                <w:rFonts w:ascii="Verdana" w:hAnsi="Verdana"/>
                <w:sz w:val="16"/>
                <w:szCs w:val="16"/>
              </w:rPr>
            </w:pPr>
            <w:r>
              <w:rPr>
                <w:rFonts w:ascii="Arial" w:hAnsi="Arial" w:cs="Arial"/>
                <w:sz w:val="16"/>
                <w:szCs w:val="16"/>
              </w:rPr>
              <w:t xml:space="preserve">  </w:t>
            </w:r>
            <w:r w:rsidRPr="0028587C">
              <w:rPr>
                <w:rFonts w:ascii="Arial" w:hAnsi="Arial" w:cs="Arial"/>
                <w:sz w:val="16"/>
                <w:szCs w:val="16"/>
              </w:rPr>
              <w:t xml:space="preserve">Roca </w:t>
            </w:r>
            <w:r>
              <w:rPr>
                <w:rFonts w:ascii="Arial" w:hAnsi="Arial" w:cs="Arial"/>
                <w:sz w:val="16"/>
                <w:szCs w:val="16"/>
              </w:rPr>
              <w:t xml:space="preserve">660 </w:t>
            </w:r>
            <w:r w:rsidRPr="0028587C">
              <w:rPr>
                <w:rFonts w:ascii="Arial" w:hAnsi="Arial" w:cs="Arial"/>
                <w:sz w:val="16"/>
                <w:szCs w:val="16"/>
              </w:rPr>
              <w:t xml:space="preserve"> y Av. Amazonas (593 2) 2997-800 Quito-Ecuador, </w:t>
            </w:r>
            <w:hyperlink r:id="rId1" w:history="1">
              <w:r w:rsidRPr="0028587C">
                <w:rPr>
                  <w:rStyle w:val="Hipervnculo"/>
                  <w:rFonts w:ascii="Arial" w:hAnsi="Arial" w:cs="Arial"/>
                  <w:sz w:val="16"/>
                  <w:szCs w:val="16"/>
                </w:rPr>
                <w:t>www.supercias.gob.ec</w:t>
              </w:r>
            </w:hyperlink>
            <w:r w:rsidRPr="0028587C">
              <w:rPr>
                <w:rFonts w:ascii="Arial" w:hAnsi="Arial" w:cs="Arial"/>
                <w:sz w:val="16"/>
                <w:szCs w:val="16"/>
              </w:rPr>
              <w:t xml:space="preserve">               </w:t>
            </w:r>
            <w:r>
              <w:rPr>
                <w:rFonts w:ascii="Arial" w:hAnsi="Arial" w:cs="Arial"/>
                <w:sz w:val="16"/>
                <w:szCs w:val="16"/>
              </w:rPr>
              <w:t xml:space="preserve">                  </w:t>
            </w:r>
            <w:r w:rsidRPr="0028587C">
              <w:rPr>
                <w:rFonts w:ascii="Arial" w:hAnsi="Arial" w:cs="Arial"/>
                <w:sz w:val="16"/>
                <w:szCs w:val="16"/>
              </w:rPr>
              <w:t xml:space="preserve">   </w:t>
            </w:r>
            <w:proofErr w:type="spellStart"/>
            <w:r w:rsidRPr="001F2E29">
              <w:rPr>
                <w:rFonts w:ascii="Verdana" w:hAnsi="Verdana"/>
                <w:sz w:val="16"/>
                <w:szCs w:val="16"/>
              </w:rPr>
              <w:t>P</w:t>
            </w:r>
            <w:r>
              <w:rPr>
                <w:rFonts w:ascii="Verdana" w:hAnsi="Verdana"/>
                <w:sz w:val="16"/>
                <w:szCs w:val="16"/>
              </w:rPr>
              <w:t>ag</w:t>
            </w:r>
            <w:proofErr w:type="spellEnd"/>
            <w:r w:rsidRPr="001F2E29">
              <w:rPr>
                <w:rFonts w:ascii="Verdana" w:hAnsi="Verdana"/>
                <w:sz w:val="16"/>
                <w:szCs w:val="16"/>
              </w:rPr>
              <w:t xml:space="preserve"> </w:t>
            </w:r>
            <w:r w:rsidRPr="0048261C">
              <w:rPr>
                <w:rFonts w:ascii="Verdana" w:hAnsi="Verdana"/>
                <w:b/>
                <w:bCs/>
                <w:sz w:val="16"/>
                <w:szCs w:val="16"/>
              </w:rPr>
              <w:fldChar w:fldCharType="begin"/>
            </w:r>
            <w:r w:rsidRPr="001F2E29">
              <w:rPr>
                <w:rFonts w:ascii="Verdana" w:hAnsi="Verdana"/>
                <w:b/>
                <w:bCs/>
                <w:sz w:val="16"/>
                <w:szCs w:val="16"/>
              </w:rPr>
              <w:instrText>PAGE</w:instrText>
            </w:r>
            <w:r w:rsidRPr="0048261C">
              <w:rPr>
                <w:rFonts w:ascii="Verdana" w:hAnsi="Verdana"/>
                <w:b/>
                <w:bCs/>
                <w:sz w:val="16"/>
                <w:szCs w:val="16"/>
              </w:rPr>
              <w:fldChar w:fldCharType="separate"/>
            </w:r>
            <w:r w:rsidR="001A36FB">
              <w:rPr>
                <w:rFonts w:ascii="Verdana" w:hAnsi="Verdana"/>
                <w:b/>
                <w:bCs/>
                <w:noProof/>
                <w:sz w:val="16"/>
                <w:szCs w:val="16"/>
              </w:rPr>
              <w:t>4</w:t>
            </w:r>
            <w:r w:rsidRPr="0048261C">
              <w:rPr>
                <w:rFonts w:ascii="Verdana" w:hAnsi="Verdana"/>
                <w:b/>
                <w:bCs/>
                <w:sz w:val="16"/>
                <w:szCs w:val="16"/>
              </w:rPr>
              <w:fldChar w:fldCharType="end"/>
            </w:r>
            <w:r w:rsidRPr="001F2E29">
              <w:rPr>
                <w:rFonts w:ascii="Verdana" w:hAnsi="Verdana"/>
                <w:sz w:val="16"/>
                <w:szCs w:val="16"/>
              </w:rPr>
              <w:t xml:space="preserve"> de </w:t>
            </w:r>
            <w:r w:rsidRPr="0048261C">
              <w:rPr>
                <w:rFonts w:ascii="Verdana" w:hAnsi="Verdana"/>
                <w:b/>
                <w:bCs/>
                <w:sz w:val="16"/>
                <w:szCs w:val="16"/>
              </w:rPr>
              <w:fldChar w:fldCharType="begin"/>
            </w:r>
            <w:r w:rsidRPr="001F2E29">
              <w:rPr>
                <w:rFonts w:ascii="Verdana" w:hAnsi="Verdana"/>
                <w:b/>
                <w:bCs/>
                <w:sz w:val="16"/>
                <w:szCs w:val="16"/>
              </w:rPr>
              <w:instrText>NUMPAGES</w:instrText>
            </w:r>
            <w:r w:rsidRPr="0048261C">
              <w:rPr>
                <w:rFonts w:ascii="Verdana" w:hAnsi="Verdana"/>
                <w:b/>
                <w:bCs/>
                <w:sz w:val="16"/>
                <w:szCs w:val="16"/>
              </w:rPr>
              <w:fldChar w:fldCharType="separate"/>
            </w:r>
            <w:r w:rsidR="001A36FB">
              <w:rPr>
                <w:rFonts w:ascii="Verdana" w:hAnsi="Verdana"/>
                <w:b/>
                <w:bCs/>
                <w:noProof/>
                <w:sz w:val="16"/>
                <w:szCs w:val="16"/>
              </w:rPr>
              <w:t>4</w:t>
            </w:r>
            <w:r w:rsidRPr="0048261C">
              <w:rPr>
                <w:rFonts w:ascii="Verdana" w:hAnsi="Verdana"/>
                <w:b/>
                <w:bCs/>
                <w:sz w:val="16"/>
                <w:szCs w:val="16"/>
              </w:rPr>
              <w:fldChar w:fldCharType="end"/>
            </w:r>
          </w:p>
          <w:p w:rsidR="009A0689" w:rsidRPr="0028587C" w:rsidRDefault="009A0689" w:rsidP="009A0689">
            <w:pPr>
              <w:pStyle w:val="Piedepgina"/>
              <w:rPr>
                <w:rFonts w:ascii="Arial" w:hAnsi="Arial" w:cs="Arial"/>
                <w:sz w:val="16"/>
                <w:szCs w:val="16"/>
                <w:u w:val="single"/>
              </w:rPr>
            </w:pPr>
            <w:r w:rsidRPr="0028587C">
              <w:rPr>
                <w:rFonts w:ascii="Arial" w:hAnsi="Arial" w:cs="Arial"/>
                <w:sz w:val="16"/>
                <w:szCs w:val="16"/>
              </w:rPr>
              <w:t xml:space="preserve">    </w:t>
            </w:r>
            <w:r w:rsidRPr="0028587C">
              <w:rPr>
                <w:rFonts w:ascii="Arial" w:hAnsi="Arial" w:cs="Arial"/>
                <w:color w:val="FFFFFF"/>
                <w:sz w:val="16"/>
                <w:szCs w:val="16"/>
              </w:rPr>
              <w:t>Pág. 2</w:t>
            </w:r>
          </w:p>
          <w:p w:rsidR="009A0689" w:rsidRDefault="00843AEE">
            <w:pPr>
              <w:pStyle w:val="Piedepgina"/>
              <w:jc w:val="center"/>
            </w:pPr>
          </w:p>
        </w:sdtContent>
      </w:sdt>
    </w:sdtContent>
  </w:sdt>
  <w:p w:rsidR="00124700" w:rsidRDefault="0012470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3AEE" w:rsidRDefault="00843AEE" w:rsidP="00124700">
      <w:pPr>
        <w:spacing w:after="0" w:line="240" w:lineRule="auto"/>
      </w:pPr>
      <w:r>
        <w:separator/>
      </w:r>
    </w:p>
  </w:footnote>
  <w:footnote w:type="continuationSeparator" w:id="0">
    <w:p w:rsidR="00843AEE" w:rsidRDefault="00843AEE" w:rsidP="0012470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4700" w:rsidRPr="00124700" w:rsidRDefault="006B50D1" w:rsidP="00124700">
    <w:pPr>
      <w:tabs>
        <w:tab w:val="left" w:pos="7010"/>
      </w:tabs>
      <w:spacing w:after="0" w:line="240" w:lineRule="auto"/>
      <w:ind w:left="426" w:hanging="426"/>
      <w:rPr>
        <w:rFonts w:ascii="Cambria" w:eastAsia="Times New Roman" w:hAnsi="Cambria" w:cs="Times New Roman"/>
        <w:b/>
        <w:sz w:val="24"/>
        <w:szCs w:val="24"/>
        <w:lang w:val="en-US" w:eastAsia="es-ES"/>
      </w:rPr>
    </w:pPr>
    <w:r w:rsidRPr="00124700">
      <w:rPr>
        <w:rFonts w:ascii="Cambria" w:eastAsia="Times New Roman" w:hAnsi="Cambria" w:cs="Times New Roman"/>
        <w:noProof/>
        <w:sz w:val="24"/>
        <w:szCs w:val="24"/>
        <w:lang w:eastAsia="es-EC"/>
      </w:rPr>
      <w:drawing>
        <wp:anchor distT="0" distB="0" distL="114300" distR="114300" simplePos="0" relativeHeight="251661312" behindDoc="0" locked="0" layoutInCell="1" allowOverlap="1" wp14:anchorId="2FAF1314" wp14:editId="6A7BA4C1">
          <wp:simplePos x="0" y="0"/>
          <wp:positionH relativeFrom="column">
            <wp:posOffset>4996815</wp:posOffset>
          </wp:positionH>
          <wp:positionV relativeFrom="paragraph">
            <wp:posOffset>150495</wp:posOffset>
          </wp:positionV>
          <wp:extent cx="1057275" cy="632460"/>
          <wp:effectExtent l="0" t="0" r="9525" b="0"/>
          <wp:wrapSquare wrapText="bothSides"/>
          <wp:docPr id="1" name="1 Imagen" descr="NUEVO LOGO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NUEVO LOGO 20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632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4700">
      <w:rPr>
        <w:rFonts w:ascii="Cambria" w:eastAsia="Times New Roman" w:hAnsi="Cambria" w:cs="Times New Roman"/>
        <w:noProof/>
        <w:sz w:val="24"/>
        <w:szCs w:val="24"/>
        <w:lang w:eastAsia="es-EC"/>
      </w:rPr>
      <w:drawing>
        <wp:anchor distT="0" distB="0" distL="114300" distR="114300" simplePos="0" relativeHeight="251660288" behindDoc="0" locked="0" layoutInCell="1" allowOverlap="1" wp14:anchorId="779F5395" wp14:editId="36568167">
          <wp:simplePos x="0" y="0"/>
          <wp:positionH relativeFrom="column">
            <wp:posOffset>-146685</wp:posOffset>
          </wp:positionH>
          <wp:positionV relativeFrom="paragraph">
            <wp:posOffset>150495</wp:posOffset>
          </wp:positionV>
          <wp:extent cx="647700" cy="617220"/>
          <wp:effectExtent l="0" t="0" r="0" b="0"/>
          <wp:wrapNone/>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7700" cy="617220"/>
                  </a:xfrm>
                  <a:prstGeom prst="rect">
                    <a:avLst/>
                  </a:prstGeom>
                  <a:noFill/>
                </pic:spPr>
              </pic:pic>
            </a:graphicData>
          </a:graphic>
          <wp14:sizeRelH relativeFrom="page">
            <wp14:pctWidth>0</wp14:pctWidth>
          </wp14:sizeRelH>
          <wp14:sizeRelV relativeFrom="page">
            <wp14:pctHeight>0</wp14:pctHeight>
          </wp14:sizeRelV>
        </wp:anchor>
      </w:drawing>
    </w:r>
    <w:r w:rsidR="00124700" w:rsidRPr="00124700">
      <w:rPr>
        <w:rFonts w:ascii="Cambria" w:eastAsia="Times New Roman" w:hAnsi="Cambria" w:cs="Times New Roman"/>
        <w:b/>
        <w:noProof/>
        <w:sz w:val="24"/>
        <w:szCs w:val="24"/>
        <w:lang w:eastAsia="es-EC"/>
      </w:rPr>
      <mc:AlternateContent>
        <mc:Choice Requires="wps">
          <w:drawing>
            <wp:anchor distT="0" distB="0" distL="114300" distR="114300" simplePos="0" relativeHeight="251659264" behindDoc="0" locked="0" layoutInCell="1" allowOverlap="1" wp14:anchorId="4B380BF6" wp14:editId="402FA6C5">
              <wp:simplePos x="0" y="0"/>
              <wp:positionH relativeFrom="column">
                <wp:posOffset>662940</wp:posOffset>
              </wp:positionH>
              <wp:positionV relativeFrom="paragraph">
                <wp:posOffset>150495</wp:posOffset>
              </wp:positionV>
              <wp:extent cx="4114800" cy="571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736AB" w:rsidRDefault="00B736AB" w:rsidP="00124700">
                          <w:pPr>
                            <w:jc w:val="center"/>
                            <w:rPr>
                              <w:b/>
                              <w:sz w:val="24"/>
                              <w:szCs w:val="24"/>
                            </w:rPr>
                          </w:pPr>
                          <w:r w:rsidRPr="00B736AB">
                            <w:rPr>
                              <w:b/>
                              <w:sz w:val="24"/>
                              <w:szCs w:val="24"/>
                            </w:rPr>
                            <w:t>SUPERINTENDENCIA DE COMPAÑIAS VALORES Y SEGUROS</w:t>
                          </w:r>
                        </w:p>
                        <w:p w:rsidR="00124700" w:rsidRPr="00606D40" w:rsidRDefault="00124700" w:rsidP="00124700">
                          <w:pPr>
                            <w:jc w:val="center"/>
                            <w:rPr>
                              <w:b/>
                              <w:sz w:val="26"/>
                              <w:szCs w:val="26"/>
                            </w:rPr>
                          </w:pPr>
                          <w:r w:rsidRPr="00606D40">
                            <w:rPr>
                              <w:b/>
                              <w:sz w:val="26"/>
                              <w:szCs w:val="26"/>
                            </w:rPr>
                            <w:t>INTENDENCIA REGIONAL DE QUITO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left:0;text-align:left;margin-left:52.2pt;margin-top:11.85pt;width:324pt;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" stroked="f">
              <v:textbox>
                <w:txbxContent>
                  <w:p w:rsidR="00B736AB" w:rsidRDefault="00B736AB" w:rsidP="00124700">
                    <w:pPr>
                      <w:jc w:val="center"/>
                      <w:rPr>
                        <w:b/>
                        <w:sz w:val="24"/>
                        <w:szCs w:val="24"/>
                      </w:rPr>
                    </w:pPr>
                    <w:r w:rsidRPr="00B736AB">
                      <w:rPr>
                        <w:b/>
                        <w:sz w:val="24"/>
                        <w:szCs w:val="24"/>
                      </w:rPr>
                      <w:t>SUPERINTENDENCIA DE COMPAÑIAS VALORES Y SEGUROS</w:t>
                    </w:r>
                  </w:p>
                  <w:p w:rsidR="00124700" w:rsidRPr="00606D40" w:rsidRDefault="00124700" w:rsidP="00124700">
                    <w:pPr>
                      <w:jc w:val="center"/>
                      <w:rPr>
                        <w:b/>
                        <w:sz w:val="26"/>
                        <w:szCs w:val="26"/>
                      </w:rPr>
                    </w:pPr>
                    <w:r w:rsidRPr="00606D40">
                      <w:rPr>
                        <w:b/>
                        <w:sz w:val="26"/>
                        <w:szCs w:val="26"/>
                      </w:rPr>
                      <w:t>INTENDENCIA REGIONAL DE QUITO</w:t>
                    </w:r>
                  </w:p>
                </w:txbxContent>
              </v:textbox>
            </v:shape>
          </w:pict>
        </mc:Fallback>
      </mc:AlternateContent>
    </w:r>
  </w:p>
  <w:p w:rsidR="00124700" w:rsidRPr="00124700" w:rsidRDefault="00124700" w:rsidP="00124700">
    <w:pPr>
      <w:tabs>
        <w:tab w:val="left" w:pos="7010"/>
      </w:tabs>
      <w:spacing w:after="0" w:line="240" w:lineRule="auto"/>
      <w:ind w:left="426" w:hanging="426"/>
      <w:rPr>
        <w:rFonts w:ascii="Cambria" w:eastAsia="Times New Roman" w:hAnsi="Cambria" w:cs="Times New Roman"/>
        <w:b/>
        <w:sz w:val="24"/>
        <w:szCs w:val="24"/>
        <w:lang w:val="en-US" w:eastAsia="es-ES"/>
      </w:rPr>
    </w:pPr>
  </w:p>
  <w:p w:rsidR="00124700" w:rsidRPr="00124700" w:rsidRDefault="00124700" w:rsidP="00124700">
    <w:pPr>
      <w:tabs>
        <w:tab w:val="left" w:pos="5898"/>
      </w:tabs>
      <w:spacing w:after="0" w:line="240" w:lineRule="auto"/>
      <w:ind w:left="426" w:hanging="426"/>
      <w:rPr>
        <w:rFonts w:ascii="Cambria" w:eastAsia="Times New Roman" w:hAnsi="Cambria" w:cs="Times New Roman"/>
        <w:b/>
        <w:sz w:val="24"/>
        <w:szCs w:val="24"/>
        <w:lang w:val="en-US" w:eastAsia="es-ES"/>
      </w:rPr>
    </w:pPr>
    <w:r w:rsidRPr="00124700">
      <w:rPr>
        <w:rFonts w:ascii="Cambria" w:eastAsia="Times New Roman" w:hAnsi="Cambria" w:cs="Times New Roman"/>
        <w:b/>
        <w:sz w:val="24"/>
        <w:szCs w:val="24"/>
        <w:lang w:val="en-US" w:eastAsia="es-ES"/>
      </w:rPr>
      <w:tab/>
    </w:r>
  </w:p>
  <w:p w:rsidR="006B50D1" w:rsidRDefault="006B50D1">
    <w:pPr>
      <w:pStyle w:val="Encabezado"/>
    </w:pPr>
  </w:p>
  <w:p w:rsidR="00124700" w:rsidRDefault="00124700">
    <w:pPr>
      <w:pStyle w:val="Encabezado"/>
    </w:pPr>
    <w:r w:rsidRPr="00124700">
      <w:rPr>
        <w:rFonts w:ascii="Cambria" w:eastAsia="Times New Roman" w:hAnsi="Cambria" w:cs="Times New Roman"/>
        <w:b/>
        <w:noProof/>
        <w:sz w:val="24"/>
        <w:szCs w:val="24"/>
        <w:lang w:eastAsia="es-EC"/>
      </w:rPr>
      <mc:AlternateContent>
        <mc:Choice Requires="wps">
          <w:drawing>
            <wp:anchor distT="0" distB="0" distL="114300" distR="114300" simplePos="0" relativeHeight="251662336" behindDoc="0" locked="0" layoutInCell="1" allowOverlap="1" wp14:anchorId="0792D66F" wp14:editId="273919F2">
              <wp:simplePos x="0" y="0"/>
              <wp:positionH relativeFrom="column">
                <wp:posOffset>-133350</wp:posOffset>
              </wp:positionH>
              <wp:positionV relativeFrom="paragraph">
                <wp:posOffset>273050</wp:posOffset>
              </wp:positionV>
              <wp:extent cx="5528945" cy="8255"/>
              <wp:effectExtent l="0" t="0" r="14605" b="29845"/>
              <wp:wrapNone/>
              <wp:docPr id="4" name="4 Conector recto"/>
              <wp:cNvGraphicFramePr/>
              <a:graphic xmlns:a="http://schemas.openxmlformats.org/drawingml/2006/main">
                <a:graphicData uri="http://schemas.microsoft.com/office/word/2010/wordprocessingShape">
                  <wps:wsp>
                    <wps:cNvCnPr/>
                    <wps:spPr>
                      <a:xfrm flipV="1">
                        <a:off x="0" y="0"/>
                        <a:ext cx="5528945" cy="8255"/>
                      </a:xfrm>
                      <a:prstGeom prst="line">
                        <a:avLst/>
                      </a:prstGeom>
                      <a:noFill/>
                      <a:ln w="15875" cap="flat" cmpd="sng" algn="ctr">
                        <a:solidFill>
                          <a:sysClr val="windowText" lastClr="000000">
                            <a:shade val="95000"/>
                            <a:satMod val="105000"/>
                          </a:sysClr>
                        </a:solidFill>
                        <a:prstDash val="solid"/>
                      </a:ln>
                      <a:effectLst/>
                    </wps:spPr>
                    <wps:bodyPr/>
                  </wps:wsp>
                </a:graphicData>
              </a:graphic>
            </wp:anchor>
          </w:drawing>
        </mc:Choice>
        <mc:Fallback>
          <w:pict>
            <v:line id="4 Conector recto" o:spid="_x0000_s1026"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from="-10.5pt,21.5pt" to="424.8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" strokeweight="1.25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0415E1B"/>
    <w:multiLevelType w:val="hybridMultilevel"/>
    <w:tmpl w:val="55DC49F2"/>
    <w:lvl w:ilvl="0" w:tplc="3E640F40">
      <w:numFmt w:val="bullet"/>
      <w:lvlText w:val="-"/>
      <w:lvlJc w:val="left"/>
      <w:pPr>
        <w:ind w:left="720" w:hanging="360"/>
      </w:pPr>
      <w:rPr>
        <w:rFonts w:ascii="Calibri" w:eastAsiaTheme="minorHAns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7A04"/>
    <w:rsid w:val="00002DA1"/>
    <w:rsid w:val="00003EF3"/>
    <w:rsid w:val="00006A21"/>
    <w:rsid w:val="00007717"/>
    <w:rsid w:val="00015280"/>
    <w:rsid w:val="00022851"/>
    <w:rsid w:val="00024DBD"/>
    <w:rsid w:val="00031007"/>
    <w:rsid w:val="00031300"/>
    <w:rsid w:val="000357D1"/>
    <w:rsid w:val="00047DD2"/>
    <w:rsid w:val="00050AED"/>
    <w:rsid w:val="00052960"/>
    <w:rsid w:val="00055DE5"/>
    <w:rsid w:val="000562A7"/>
    <w:rsid w:val="00072851"/>
    <w:rsid w:val="00093E53"/>
    <w:rsid w:val="000D3039"/>
    <w:rsid w:val="000F22A4"/>
    <w:rsid w:val="001043F2"/>
    <w:rsid w:val="0011659B"/>
    <w:rsid w:val="00124700"/>
    <w:rsid w:val="001306C9"/>
    <w:rsid w:val="00135199"/>
    <w:rsid w:val="00135D2E"/>
    <w:rsid w:val="00147A04"/>
    <w:rsid w:val="00154DA8"/>
    <w:rsid w:val="001619FE"/>
    <w:rsid w:val="0016223E"/>
    <w:rsid w:val="00177C8C"/>
    <w:rsid w:val="001A1F79"/>
    <w:rsid w:val="001A36FB"/>
    <w:rsid w:val="001B78F4"/>
    <w:rsid w:val="001B7FF8"/>
    <w:rsid w:val="001C307D"/>
    <w:rsid w:val="001C67E9"/>
    <w:rsid w:val="001C6CE9"/>
    <w:rsid w:val="001D0710"/>
    <w:rsid w:val="001D1510"/>
    <w:rsid w:val="001D4229"/>
    <w:rsid w:val="001E3723"/>
    <w:rsid w:val="00201D39"/>
    <w:rsid w:val="00201E7C"/>
    <w:rsid w:val="00233883"/>
    <w:rsid w:val="0023392F"/>
    <w:rsid w:val="00240892"/>
    <w:rsid w:val="00244E9C"/>
    <w:rsid w:val="002474CB"/>
    <w:rsid w:val="002531C7"/>
    <w:rsid w:val="002532B2"/>
    <w:rsid w:val="0026073D"/>
    <w:rsid w:val="002644E2"/>
    <w:rsid w:val="00287121"/>
    <w:rsid w:val="00290872"/>
    <w:rsid w:val="00297E56"/>
    <w:rsid w:val="002A36E2"/>
    <w:rsid w:val="002A48E0"/>
    <w:rsid w:val="002B2C40"/>
    <w:rsid w:val="002C072B"/>
    <w:rsid w:val="002C23EC"/>
    <w:rsid w:val="002C5734"/>
    <w:rsid w:val="002F7E59"/>
    <w:rsid w:val="00302083"/>
    <w:rsid w:val="00312935"/>
    <w:rsid w:val="003214E7"/>
    <w:rsid w:val="0033192E"/>
    <w:rsid w:val="003344B6"/>
    <w:rsid w:val="003532E2"/>
    <w:rsid w:val="00354B30"/>
    <w:rsid w:val="00393100"/>
    <w:rsid w:val="00393DA6"/>
    <w:rsid w:val="003D0F4C"/>
    <w:rsid w:val="003D1935"/>
    <w:rsid w:val="003D2152"/>
    <w:rsid w:val="003E6DED"/>
    <w:rsid w:val="004016F9"/>
    <w:rsid w:val="004114E8"/>
    <w:rsid w:val="004143EC"/>
    <w:rsid w:val="00420CEC"/>
    <w:rsid w:val="00421418"/>
    <w:rsid w:val="00421F7D"/>
    <w:rsid w:val="00425F70"/>
    <w:rsid w:val="00426F77"/>
    <w:rsid w:val="0042706A"/>
    <w:rsid w:val="00436757"/>
    <w:rsid w:val="0044460E"/>
    <w:rsid w:val="004647F2"/>
    <w:rsid w:val="0048330C"/>
    <w:rsid w:val="004A0ADB"/>
    <w:rsid w:val="004C4637"/>
    <w:rsid w:val="004D2CBD"/>
    <w:rsid w:val="004E4271"/>
    <w:rsid w:val="004E7370"/>
    <w:rsid w:val="004F096B"/>
    <w:rsid w:val="004F445E"/>
    <w:rsid w:val="004F5D96"/>
    <w:rsid w:val="00505579"/>
    <w:rsid w:val="005131FD"/>
    <w:rsid w:val="005176A2"/>
    <w:rsid w:val="005209C8"/>
    <w:rsid w:val="00520C2F"/>
    <w:rsid w:val="00583888"/>
    <w:rsid w:val="00586608"/>
    <w:rsid w:val="005B4179"/>
    <w:rsid w:val="005B488C"/>
    <w:rsid w:val="005D4F5F"/>
    <w:rsid w:val="005E11C7"/>
    <w:rsid w:val="005E34C5"/>
    <w:rsid w:val="005E649E"/>
    <w:rsid w:val="005F1A18"/>
    <w:rsid w:val="006013B0"/>
    <w:rsid w:val="006017F0"/>
    <w:rsid w:val="00604CE9"/>
    <w:rsid w:val="00606D40"/>
    <w:rsid w:val="00620449"/>
    <w:rsid w:val="00623F10"/>
    <w:rsid w:val="006275E9"/>
    <w:rsid w:val="006510C1"/>
    <w:rsid w:val="00673651"/>
    <w:rsid w:val="00673D85"/>
    <w:rsid w:val="00686F47"/>
    <w:rsid w:val="006938CC"/>
    <w:rsid w:val="006965B8"/>
    <w:rsid w:val="00696C4F"/>
    <w:rsid w:val="006A0E98"/>
    <w:rsid w:val="006B50D1"/>
    <w:rsid w:val="006C0A3B"/>
    <w:rsid w:val="006C0C2C"/>
    <w:rsid w:val="006C487F"/>
    <w:rsid w:val="006D235D"/>
    <w:rsid w:val="006F6DCB"/>
    <w:rsid w:val="00713E3E"/>
    <w:rsid w:val="00724DDB"/>
    <w:rsid w:val="00735FA6"/>
    <w:rsid w:val="007379B3"/>
    <w:rsid w:val="007507CD"/>
    <w:rsid w:val="00753BE7"/>
    <w:rsid w:val="00756D35"/>
    <w:rsid w:val="007639D5"/>
    <w:rsid w:val="007706E4"/>
    <w:rsid w:val="00790693"/>
    <w:rsid w:val="007A253A"/>
    <w:rsid w:val="007A55BD"/>
    <w:rsid w:val="007E66BF"/>
    <w:rsid w:val="007F55AB"/>
    <w:rsid w:val="00803238"/>
    <w:rsid w:val="00831448"/>
    <w:rsid w:val="00843AEE"/>
    <w:rsid w:val="00847BF0"/>
    <w:rsid w:val="00847D63"/>
    <w:rsid w:val="0086213C"/>
    <w:rsid w:val="00890398"/>
    <w:rsid w:val="00891F4F"/>
    <w:rsid w:val="008A0EF1"/>
    <w:rsid w:val="008B0662"/>
    <w:rsid w:val="008B239B"/>
    <w:rsid w:val="008B5128"/>
    <w:rsid w:val="008B61C7"/>
    <w:rsid w:val="008C3094"/>
    <w:rsid w:val="008C568A"/>
    <w:rsid w:val="00900C18"/>
    <w:rsid w:val="009143AB"/>
    <w:rsid w:val="00914554"/>
    <w:rsid w:val="00931938"/>
    <w:rsid w:val="00931E65"/>
    <w:rsid w:val="00941976"/>
    <w:rsid w:val="00941CDF"/>
    <w:rsid w:val="00955218"/>
    <w:rsid w:val="00961DC5"/>
    <w:rsid w:val="009671C7"/>
    <w:rsid w:val="009772D1"/>
    <w:rsid w:val="009815B4"/>
    <w:rsid w:val="009A0689"/>
    <w:rsid w:val="009A73C9"/>
    <w:rsid w:val="009C4B9C"/>
    <w:rsid w:val="009E3024"/>
    <w:rsid w:val="009F3A71"/>
    <w:rsid w:val="00A00582"/>
    <w:rsid w:val="00A033C1"/>
    <w:rsid w:val="00A26475"/>
    <w:rsid w:val="00A41EA9"/>
    <w:rsid w:val="00A45AD8"/>
    <w:rsid w:val="00A5089A"/>
    <w:rsid w:val="00A531CE"/>
    <w:rsid w:val="00A54724"/>
    <w:rsid w:val="00A74513"/>
    <w:rsid w:val="00A7544E"/>
    <w:rsid w:val="00A767F1"/>
    <w:rsid w:val="00A8211B"/>
    <w:rsid w:val="00A84C82"/>
    <w:rsid w:val="00A963DC"/>
    <w:rsid w:val="00AA5BC1"/>
    <w:rsid w:val="00AB6986"/>
    <w:rsid w:val="00AC0BE0"/>
    <w:rsid w:val="00AC251E"/>
    <w:rsid w:val="00AD0B5F"/>
    <w:rsid w:val="00AE16A4"/>
    <w:rsid w:val="00AE61CD"/>
    <w:rsid w:val="00AF51E6"/>
    <w:rsid w:val="00B0332C"/>
    <w:rsid w:val="00B03A50"/>
    <w:rsid w:val="00B03FDA"/>
    <w:rsid w:val="00B04A81"/>
    <w:rsid w:val="00B13085"/>
    <w:rsid w:val="00B20E81"/>
    <w:rsid w:val="00B22564"/>
    <w:rsid w:val="00B32FA1"/>
    <w:rsid w:val="00B34FA7"/>
    <w:rsid w:val="00B43C24"/>
    <w:rsid w:val="00B72BED"/>
    <w:rsid w:val="00B736AB"/>
    <w:rsid w:val="00B86074"/>
    <w:rsid w:val="00B86319"/>
    <w:rsid w:val="00B9686E"/>
    <w:rsid w:val="00BA61E8"/>
    <w:rsid w:val="00BC317E"/>
    <w:rsid w:val="00BD0AD6"/>
    <w:rsid w:val="00BD7C12"/>
    <w:rsid w:val="00BE131E"/>
    <w:rsid w:val="00BE2066"/>
    <w:rsid w:val="00BE228D"/>
    <w:rsid w:val="00BE4352"/>
    <w:rsid w:val="00BF503F"/>
    <w:rsid w:val="00C01A11"/>
    <w:rsid w:val="00C05950"/>
    <w:rsid w:val="00C06633"/>
    <w:rsid w:val="00C11962"/>
    <w:rsid w:val="00C22E00"/>
    <w:rsid w:val="00C45E59"/>
    <w:rsid w:val="00C47F84"/>
    <w:rsid w:val="00C50339"/>
    <w:rsid w:val="00C54D81"/>
    <w:rsid w:val="00C63C1E"/>
    <w:rsid w:val="00C66E01"/>
    <w:rsid w:val="00C90312"/>
    <w:rsid w:val="00C9751B"/>
    <w:rsid w:val="00CA67D9"/>
    <w:rsid w:val="00CB7C58"/>
    <w:rsid w:val="00CD480A"/>
    <w:rsid w:val="00CE1019"/>
    <w:rsid w:val="00CE12AD"/>
    <w:rsid w:val="00CE5E7D"/>
    <w:rsid w:val="00CE7965"/>
    <w:rsid w:val="00D042CD"/>
    <w:rsid w:val="00D10531"/>
    <w:rsid w:val="00D119E8"/>
    <w:rsid w:val="00D12920"/>
    <w:rsid w:val="00D2673C"/>
    <w:rsid w:val="00D3611D"/>
    <w:rsid w:val="00D4744B"/>
    <w:rsid w:val="00D759E9"/>
    <w:rsid w:val="00DA12BD"/>
    <w:rsid w:val="00DA325D"/>
    <w:rsid w:val="00DB465A"/>
    <w:rsid w:val="00DB629A"/>
    <w:rsid w:val="00DC4EC0"/>
    <w:rsid w:val="00DC611A"/>
    <w:rsid w:val="00DF6837"/>
    <w:rsid w:val="00E14096"/>
    <w:rsid w:val="00E178F3"/>
    <w:rsid w:val="00E32B81"/>
    <w:rsid w:val="00E34F7A"/>
    <w:rsid w:val="00E35D3C"/>
    <w:rsid w:val="00E374D6"/>
    <w:rsid w:val="00E378D6"/>
    <w:rsid w:val="00E456B6"/>
    <w:rsid w:val="00E528A2"/>
    <w:rsid w:val="00E600CE"/>
    <w:rsid w:val="00E67BAF"/>
    <w:rsid w:val="00E72202"/>
    <w:rsid w:val="00E764FD"/>
    <w:rsid w:val="00E77069"/>
    <w:rsid w:val="00E83430"/>
    <w:rsid w:val="00E840EB"/>
    <w:rsid w:val="00E86ED9"/>
    <w:rsid w:val="00E92B9A"/>
    <w:rsid w:val="00E9661C"/>
    <w:rsid w:val="00EA553B"/>
    <w:rsid w:val="00EA7905"/>
    <w:rsid w:val="00EB025B"/>
    <w:rsid w:val="00EB52B5"/>
    <w:rsid w:val="00EC525F"/>
    <w:rsid w:val="00ED7A43"/>
    <w:rsid w:val="00EE2719"/>
    <w:rsid w:val="00EE6A8B"/>
    <w:rsid w:val="00F01ADC"/>
    <w:rsid w:val="00F03DE3"/>
    <w:rsid w:val="00F10472"/>
    <w:rsid w:val="00F11CC4"/>
    <w:rsid w:val="00F15481"/>
    <w:rsid w:val="00F160AA"/>
    <w:rsid w:val="00F237C5"/>
    <w:rsid w:val="00F305FD"/>
    <w:rsid w:val="00F37EE7"/>
    <w:rsid w:val="00F402EC"/>
    <w:rsid w:val="00F4232F"/>
    <w:rsid w:val="00F6210B"/>
    <w:rsid w:val="00F721F6"/>
    <w:rsid w:val="00F812FF"/>
    <w:rsid w:val="00F928A1"/>
    <w:rsid w:val="00FA5ACC"/>
    <w:rsid w:val="00FB5CFA"/>
    <w:rsid w:val="00FC09FE"/>
    <w:rsid w:val="00FE4861"/>
    <w:rsid w:val="00FF1CC8"/>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unhideWhenUsed/>
    <w:qFormat/>
    <w:rsid w:val="006B50D1"/>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147A04"/>
    <w:pPr>
      <w:spacing w:after="0" w:line="240" w:lineRule="auto"/>
    </w:pPr>
  </w:style>
  <w:style w:type="paragraph" w:styleId="Prrafodelista">
    <w:name w:val="List Paragraph"/>
    <w:basedOn w:val="Normal"/>
    <w:uiPriority w:val="34"/>
    <w:qFormat/>
    <w:rsid w:val="00FB5CFA"/>
    <w:pPr>
      <w:ind w:left="720"/>
      <w:contextualSpacing/>
    </w:pPr>
  </w:style>
  <w:style w:type="paragraph" w:styleId="Encabezado">
    <w:name w:val="header"/>
    <w:basedOn w:val="Normal"/>
    <w:link w:val="EncabezadoCar"/>
    <w:uiPriority w:val="99"/>
    <w:unhideWhenUsed/>
    <w:rsid w:val="0012470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4700"/>
  </w:style>
  <w:style w:type="paragraph" w:styleId="Piedepgina">
    <w:name w:val="footer"/>
    <w:basedOn w:val="Normal"/>
    <w:link w:val="PiedepginaCar"/>
    <w:uiPriority w:val="99"/>
    <w:unhideWhenUsed/>
    <w:rsid w:val="0012470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4700"/>
  </w:style>
  <w:style w:type="character" w:styleId="Hipervnculo">
    <w:name w:val="Hyperlink"/>
    <w:uiPriority w:val="99"/>
    <w:unhideWhenUsed/>
    <w:rsid w:val="009A0689"/>
    <w:rPr>
      <w:color w:val="0000FF"/>
      <w:u w:val="single"/>
    </w:rPr>
  </w:style>
  <w:style w:type="paragraph" w:styleId="Ttulo">
    <w:name w:val="Title"/>
    <w:basedOn w:val="Normal"/>
    <w:next w:val="Normal"/>
    <w:link w:val="TtuloCar"/>
    <w:uiPriority w:val="10"/>
    <w:qFormat/>
    <w:rsid w:val="006B50D1"/>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tuloCar">
    <w:name w:val="Título Car"/>
    <w:basedOn w:val="Fuentedeprrafopredeter"/>
    <w:link w:val="Ttulo"/>
    <w:uiPriority w:val="10"/>
    <w:rsid w:val="006B50D1"/>
    <w:rPr>
      <w:rFonts w:asciiTheme="majorHAnsi" w:eastAsiaTheme="majorEastAsia" w:hAnsiTheme="majorHAnsi" w:cstheme="majorBidi"/>
      <w:color w:val="323E4F" w:themeColor="text2" w:themeShade="BF"/>
      <w:spacing w:val="5"/>
      <w:kern w:val="28"/>
      <w:sz w:val="52"/>
      <w:szCs w:val="52"/>
    </w:rPr>
  </w:style>
  <w:style w:type="character" w:customStyle="1" w:styleId="Ttulo2Car">
    <w:name w:val="Título 2 Car"/>
    <w:basedOn w:val="Fuentedeprrafopredeter"/>
    <w:link w:val="Ttulo2"/>
    <w:uiPriority w:val="9"/>
    <w:rsid w:val="006B50D1"/>
    <w:rPr>
      <w:rFonts w:asciiTheme="majorHAnsi" w:eastAsiaTheme="majorEastAsia" w:hAnsiTheme="majorHAnsi" w:cstheme="majorBidi"/>
      <w:b/>
      <w:bCs/>
      <w:color w:val="5B9BD5"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next w:val="Normal"/>
    <w:link w:val="Ttulo2Car"/>
    <w:uiPriority w:val="9"/>
    <w:unhideWhenUsed/>
    <w:qFormat/>
    <w:rsid w:val="006B50D1"/>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147A04"/>
    <w:pPr>
      <w:spacing w:after="0" w:line="240" w:lineRule="auto"/>
    </w:pPr>
  </w:style>
  <w:style w:type="paragraph" w:styleId="Prrafodelista">
    <w:name w:val="List Paragraph"/>
    <w:basedOn w:val="Normal"/>
    <w:uiPriority w:val="34"/>
    <w:qFormat/>
    <w:rsid w:val="00FB5CFA"/>
    <w:pPr>
      <w:ind w:left="720"/>
      <w:contextualSpacing/>
    </w:pPr>
  </w:style>
  <w:style w:type="paragraph" w:styleId="Encabezado">
    <w:name w:val="header"/>
    <w:basedOn w:val="Normal"/>
    <w:link w:val="EncabezadoCar"/>
    <w:uiPriority w:val="99"/>
    <w:unhideWhenUsed/>
    <w:rsid w:val="0012470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4700"/>
  </w:style>
  <w:style w:type="paragraph" w:styleId="Piedepgina">
    <w:name w:val="footer"/>
    <w:basedOn w:val="Normal"/>
    <w:link w:val="PiedepginaCar"/>
    <w:uiPriority w:val="99"/>
    <w:unhideWhenUsed/>
    <w:rsid w:val="0012470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4700"/>
  </w:style>
  <w:style w:type="character" w:styleId="Hipervnculo">
    <w:name w:val="Hyperlink"/>
    <w:uiPriority w:val="99"/>
    <w:unhideWhenUsed/>
    <w:rsid w:val="009A0689"/>
    <w:rPr>
      <w:color w:val="0000FF"/>
      <w:u w:val="single"/>
    </w:rPr>
  </w:style>
  <w:style w:type="paragraph" w:styleId="Ttulo">
    <w:name w:val="Title"/>
    <w:basedOn w:val="Normal"/>
    <w:next w:val="Normal"/>
    <w:link w:val="TtuloCar"/>
    <w:uiPriority w:val="10"/>
    <w:qFormat/>
    <w:rsid w:val="006B50D1"/>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tuloCar">
    <w:name w:val="Título Car"/>
    <w:basedOn w:val="Fuentedeprrafopredeter"/>
    <w:link w:val="Ttulo"/>
    <w:uiPriority w:val="10"/>
    <w:rsid w:val="006B50D1"/>
    <w:rPr>
      <w:rFonts w:asciiTheme="majorHAnsi" w:eastAsiaTheme="majorEastAsia" w:hAnsiTheme="majorHAnsi" w:cstheme="majorBidi"/>
      <w:color w:val="323E4F" w:themeColor="text2" w:themeShade="BF"/>
      <w:spacing w:val="5"/>
      <w:kern w:val="28"/>
      <w:sz w:val="52"/>
      <w:szCs w:val="52"/>
    </w:rPr>
  </w:style>
  <w:style w:type="character" w:customStyle="1" w:styleId="Ttulo2Car">
    <w:name w:val="Título 2 Car"/>
    <w:basedOn w:val="Fuentedeprrafopredeter"/>
    <w:link w:val="Ttulo2"/>
    <w:uiPriority w:val="9"/>
    <w:rsid w:val="006B50D1"/>
    <w:rPr>
      <w:rFonts w:asciiTheme="majorHAnsi" w:eastAsiaTheme="majorEastAsia" w:hAnsiTheme="majorHAnsi" w:cstheme="majorBidi"/>
      <w:b/>
      <w:bCs/>
      <w:color w:val="5B9BD5"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www.supercias.gob.ec"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4</Pages>
  <Words>977</Words>
  <Characters>5377</Characters>
  <Application>Microsoft Office Word</Application>
  <DocSecurity>0</DocSecurity>
  <Lines>44</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Jijón Andrade Diego Nicolás</dc:creator>
  <cp:lastModifiedBy>Padilla Najera Karen Gabriela</cp:lastModifiedBy>
  <cp:revision>10</cp:revision>
  <cp:lastPrinted>2022-03-18T16:37:00Z</cp:lastPrinted>
  <dcterms:created xsi:type="dcterms:W3CDTF">2022-03-15T21:13:00Z</dcterms:created>
  <dcterms:modified xsi:type="dcterms:W3CDTF">2022-03-18T16:38:00Z</dcterms:modified>
</cp:coreProperties>
</file>