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2B31" w:rsidRPr="00AC778F" w:rsidRDefault="00662B31" w:rsidP="00662B31">
      <w:pPr>
        <w:pStyle w:val="Ttulo2"/>
        <w:rPr>
          <w:lang w:val="es-MX"/>
        </w:rPr>
      </w:pPr>
      <w:bookmarkStart w:id="0" w:name="_Toc120191537"/>
      <w:bookmarkStart w:id="1" w:name="_GoBack"/>
      <w:bookmarkEnd w:id="1"/>
      <w:r w:rsidRPr="00AC778F">
        <w:rPr>
          <w:lang w:val="es-MX"/>
        </w:rPr>
        <w:t>Dirección Regional de Seguros</w:t>
      </w:r>
      <w:bookmarkEnd w:id="0"/>
      <w:r w:rsidRPr="00AC778F">
        <w:rPr>
          <w:lang w:val="es-MX"/>
        </w:rPr>
        <w:t xml:space="preserve"> </w:t>
      </w:r>
    </w:p>
    <w:p w:rsidR="00662B31" w:rsidRDefault="00662B31" w:rsidP="00662B31">
      <w:pPr>
        <w:spacing w:after="0" w:line="360" w:lineRule="auto"/>
        <w:ind w:firstLine="360"/>
        <w:jc w:val="both"/>
        <w:rPr>
          <w:sz w:val="24"/>
          <w:lang w:val="es-MX"/>
        </w:rPr>
      </w:pPr>
      <w:r>
        <w:rPr>
          <w:sz w:val="24"/>
          <w:lang w:val="es-MX"/>
        </w:rPr>
        <w:t xml:space="preserve">Gestión realizada por la Unidad de Auditoría: </w:t>
      </w:r>
    </w:p>
    <w:p w:rsidR="00662B31" w:rsidRDefault="00662B31" w:rsidP="00662B31">
      <w:pPr>
        <w:spacing w:after="0" w:line="360" w:lineRule="auto"/>
        <w:ind w:firstLine="360"/>
        <w:jc w:val="both"/>
        <w:rPr>
          <w:sz w:val="24"/>
          <w:lang w:val="es-MX"/>
        </w:rPr>
      </w:pPr>
      <w:r>
        <w:rPr>
          <w:noProof/>
          <w:sz w:val="24"/>
          <w:lang w:eastAsia="es-EC"/>
        </w:rPr>
        <mc:AlternateContent>
          <mc:Choice Requires="wps">
            <w:drawing>
              <wp:anchor distT="0" distB="0" distL="114300" distR="114300" simplePos="0" relativeHeight="251659264" behindDoc="0" locked="0" layoutInCell="1" allowOverlap="1" wp14:anchorId="52A5B8CF" wp14:editId="3AAFCABF">
                <wp:simplePos x="0" y="0"/>
                <wp:positionH relativeFrom="column">
                  <wp:posOffset>259567</wp:posOffset>
                </wp:positionH>
                <wp:positionV relativeFrom="paragraph">
                  <wp:posOffset>209742</wp:posOffset>
                </wp:positionV>
                <wp:extent cx="4862830" cy="2020186"/>
                <wp:effectExtent l="0" t="0" r="13970" b="18415"/>
                <wp:wrapNone/>
                <wp:docPr id="120" name="120 Cuadro de texto"/>
                <wp:cNvGraphicFramePr/>
                <a:graphic xmlns:a="http://schemas.openxmlformats.org/drawingml/2006/main">
                  <a:graphicData uri="http://schemas.microsoft.com/office/word/2010/wordprocessingShape">
                    <wps:wsp>
                      <wps:cNvSpPr txBox="1"/>
                      <wps:spPr>
                        <a:xfrm>
                          <a:off x="0" y="0"/>
                          <a:ext cx="4862830" cy="202018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62B31" w:rsidRDefault="00A04E4A" w:rsidP="005C33C6">
                            <w:pPr>
                              <w:jc w:val="both"/>
                              <w:rPr>
                                <w:lang w:val="es-MX"/>
                              </w:rPr>
                            </w:pPr>
                            <w:r>
                              <w:rPr>
                                <w:lang w:val="es-MX"/>
                              </w:rPr>
                              <w:t>Durante el año 2022, la Unidad de Auditoría de la Dirección Regional de Seguro realizó labores de control a  18 compañías de seguros y 12 compañías de medicina prepagada enfocados en el ámbito financiero</w:t>
                            </w:r>
                            <w:r w:rsidR="005C33C6">
                              <w:rPr>
                                <w:lang w:val="es-MX"/>
                              </w:rPr>
                              <w:t xml:space="preserve"> y</w:t>
                            </w:r>
                            <w:r>
                              <w:rPr>
                                <w:lang w:val="es-MX"/>
                              </w:rPr>
                              <w:t xml:space="preserve"> de</w:t>
                            </w:r>
                            <w:r w:rsidR="006A4413">
                              <w:rPr>
                                <w:lang w:val="es-MX"/>
                              </w:rPr>
                              <w:t xml:space="preserve"> cumplimiento normativo</w:t>
                            </w:r>
                            <w:r w:rsidR="005C33C6">
                              <w:rPr>
                                <w:lang w:val="es-MX"/>
                              </w:rPr>
                              <w:t xml:space="preserve"> mediante revisiones mensuales. Complementariamente </w:t>
                            </w:r>
                            <w:proofErr w:type="spellStart"/>
                            <w:r w:rsidR="005C33C6">
                              <w:rPr>
                                <w:lang w:val="es-MX"/>
                              </w:rPr>
                              <w:t>atiend</w:t>
                            </w:r>
                            <w:r w:rsidR="00263392">
                              <w:rPr>
                                <w:lang w:val="es-MX"/>
                              </w:rPr>
                              <w:t>ió</w:t>
                            </w:r>
                            <w:proofErr w:type="spellEnd"/>
                            <w:r w:rsidR="005C33C6">
                              <w:rPr>
                                <w:lang w:val="es-MX"/>
                              </w:rPr>
                              <w:t xml:space="preserve"> las consultas efectuadas y peticiones ingresadas por los usuarios</w:t>
                            </w:r>
                            <w:r w:rsidR="00682045">
                              <w:rPr>
                                <w:lang w:val="es-MX"/>
                              </w:rPr>
                              <w:t xml:space="preserve"> del sector asegurador y medicina prepagada.</w:t>
                            </w:r>
                          </w:p>
                          <w:p w:rsidR="00B5080C" w:rsidRDefault="00B5080C" w:rsidP="005C33C6">
                            <w:pPr>
                              <w:jc w:val="both"/>
                              <w:rPr>
                                <w:lang w:val="es-MX"/>
                              </w:rPr>
                            </w:pPr>
                            <w:r>
                              <w:rPr>
                                <w:lang w:val="es-MX"/>
                              </w:rPr>
                              <w:t>La Unidad de Auditoría realizó como propuesta de mejora la m</w:t>
                            </w:r>
                            <w:r w:rsidRPr="00B5080C">
                              <w:rPr>
                                <w:lang w:val="es-MX"/>
                              </w:rPr>
                              <w:t>odificación de la validación de la estructura S07</w:t>
                            </w:r>
                            <w:r w:rsidR="001953CE">
                              <w:rPr>
                                <w:lang w:val="es-MX"/>
                              </w:rPr>
                              <w:t xml:space="preserve"> Libro de Producción</w:t>
                            </w:r>
                            <w:r>
                              <w:rPr>
                                <w:lang w:val="es-MX"/>
                              </w:rPr>
                              <w:t xml:space="preserve"> y la m</w:t>
                            </w:r>
                            <w:r w:rsidRPr="00B5080C">
                              <w:rPr>
                                <w:lang w:val="es-MX"/>
                              </w:rPr>
                              <w:t>odificación del cálculo del factor de concentración</w:t>
                            </w:r>
                            <w:r w:rsidR="001953CE">
                              <w:rPr>
                                <w:lang w:val="es-MX"/>
                              </w:rPr>
                              <w:t xml:space="preserve"> del capital adecuado.</w:t>
                            </w:r>
                          </w:p>
                          <w:p w:rsidR="00B5080C" w:rsidRDefault="00B5080C" w:rsidP="005C33C6">
                            <w:pPr>
                              <w:jc w:val="both"/>
                              <w:rPr>
                                <w:lang w:val="es-MX"/>
                              </w:rPr>
                            </w:pPr>
                          </w:p>
                          <w:p w:rsidR="00B5080C" w:rsidRDefault="00B5080C" w:rsidP="005C33C6">
                            <w:pPr>
                              <w:jc w:val="both"/>
                              <w:rPr>
                                <w:lang w:val="es-MX"/>
                              </w:rPr>
                            </w:pPr>
                          </w:p>
                          <w:p w:rsidR="00B5080C" w:rsidRDefault="00B5080C" w:rsidP="005C33C6">
                            <w:pPr>
                              <w:jc w:val="both"/>
                              <w:rPr>
                                <w:lang w:val="es-MX"/>
                              </w:rPr>
                            </w:pPr>
                          </w:p>
                          <w:p w:rsidR="00B5080C" w:rsidRDefault="00B5080C" w:rsidP="005C33C6">
                            <w:pPr>
                              <w:jc w:val="both"/>
                              <w:rPr>
                                <w:lang w:val="es-MX"/>
                              </w:rPr>
                            </w:pPr>
                          </w:p>
                          <w:p w:rsidR="00B5080C" w:rsidRPr="00A04E4A" w:rsidRDefault="00B5080C" w:rsidP="005C33C6">
                            <w:pPr>
                              <w:jc w:val="both"/>
                              <w:rPr>
                                <w:lang w:val="es-MX"/>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120 Cuadro de texto" o:spid="_x0000_s1026" type="#_x0000_t202" style="position:absolute;left:0;text-align:left;margin-left:20.45pt;margin-top:16.5pt;width:382.9pt;height:159.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" fillcolor="white [3201]" strokeweight=".5pt">
                <v:textbox>
                  <w:txbxContent>
                    <w:p w:rsidR="00662B31" w:rsidRDefault="00A04E4A" w:rsidP="005C33C6">
                      <w:pPr>
                        <w:jc w:val="both"/>
                        <w:rPr>
                          <w:lang w:val="es-MX"/>
                        </w:rPr>
                      </w:pPr>
                      <w:r>
                        <w:rPr>
                          <w:lang w:val="es-MX"/>
                        </w:rPr>
                        <w:t>Durante el año 2022, la Unidad de Auditoría de la Dirección Regional de Seguro realizó labores de control a  18 compañías de seguros y 12 compañías de medicina prepagada enfocados en el ámbito financiero</w:t>
                      </w:r>
                      <w:r w:rsidR="005C33C6">
                        <w:rPr>
                          <w:lang w:val="es-MX"/>
                        </w:rPr>
                        <w:t xml:space="preserve"> y</w:t>
                      </w:r>
                      <w:r>
                        <w:rPr>
                          <w:lang w:val="es-MX"/>
                        </w:rPr>
                        <w:t xml:space="preserve"> de</w:t>
                      </w:r>
                      <w:r w:rsidR="006A4413">
                        <w:rPr>
                          <w:lang w:val="es-MX"/>
                        </w:rPr>
                        <w:t xml:space="preserve"> cumplimiento normativo</w:t>
                      </w:r>
                      <w:r w:rsidR="005C33C6">
                        <w:rPr>
                          <w:lang w:val="es-MX"/>
                        </w:rPr>
                        <w:t xml:space="preserve"> mediante revisiones mensuales. Complementariamente atiend</w:t>
                      </w:r>
                      <w:r w:rsidR="00263392">
                        <w:rPr>
                          <w:lang w:val="es-MX"/>
                        </w:rPr>
                        <w:t>ió</w:t>
                      </w:r>
                      <w:bookmarkStart w:id="2" w:name="_GoBack"/>
                      <w:bookmarkEnd w:id="2"/>
                      <w:r w:rsidR="005C33C6">
                        <w:rPr>
                          <w:lang w:val="es-MX"/>
                        </w:rPr>
                        <w:t xml:space="preserve"> las consultas efectuadas y peticiones ingresadas por los usuarios</w:t>
                      </w:r>
                      <w:r w:rsidR="00682045">
                        <w:rPr>
                          <w:lang w:val="es-MX"/>
                        </w:rPr>
                        <w:t xml:space="preserve"> del sector asegurador y medicina prepagada.</w:t>
                      </w:r>
                    </w:p>
                    <w:p w:rsidR="00B5080C" w:rsidRDefault="00B5080C" w:rsidP="005C33C6">
                      <w:pPr>
                        <w:jc w:val="both"/>
                        <w:rPr>
                          <w:lang w:val="es-MX"/>
                        </w:rPr>
                      </w:pPr>
                      <w:r>
                        <w:rPr>
                          <w:lang w:val="es-MX"/>
                        </w:rPr>
                        <w:t>La Unidad de Auditoría realizó como propuesta de mejora la m</w:t>
                      </w:r>
                      <w:r w:rsidRPr="00B5080C">
                        <w:rPr>
                          <w:lang w:val="es-MX"/>
                        </w:rPr>
                        <w:t>odificación de la validación de la estructura S07</w:t>
                      </w:r>
                      <w:r w:rsidR="001953CE">
                        <w:rPr>
                          <w:lang w:val="es-MX"/>
                        </w:rPr>
                        <w:t xml:space="preserve"> Libro de Producción</w:t>
                      </w:r>
                      <w:r>
                        <w:rPr>
                          <w:lang w:val="es-MX"/>
                        </w:rPr>
                        <w:t xml:space="preserve"> y la m</w:t>
                      </w:r>
                      <w:r w:rsidRPr="00B5080C">
                        <w:rPr>
                          <w:lang w:val="es-MX"/>
                        </w:rPr>
                        <w:t>odificación del cálculo del factor de concentración</w:t>
                      </w:r>
                      <w:r w:rsidR="001953CE">
                        <w:rPr>
                          <w:lang w:val="es-MX"/>
                        </w:rPr>
                        <w:t xml:space="preserve"> del capital adecuado.</w:t>
                      </w:r>
                    </w:p>
                    <w:p w:rsidR="00B5080C" w:rsidRDefault="00B5080C" w:rsidP="005C33C6">
                      <w:pPr>
                        <w:jc w:val="both"/>
                        <w:rPr>
                          <w:lang w:val="es-MX"/>
                        </w:rPr>
                      </w:pPr>
                    </w:p>
                    <w:p w:rsidR="00B5080C" w:rsidRDefault="00B5080C" w:rsidP="005C33C6">
                      <w:pPr>
                        <w:jc w:val="both"/>
                        <w:rPr>
                          <w:lang w:val="es-MX"/>
                        </w:rPr>
                      </w:pPr>
                    </w:p>
                    <w:p w:rsidR="00B5080C" w:rsidRDefault="00B5080C" w:rsidP="005C33C6">
                      <w:pPr>
                        <w:jc w:val="both"/>
                        <w:rPr>
                          <w:lang w:val="es-MX"/>
                        </w:rPr>
                      </w:pPr>
                    </w:p>
                    <w:p w:rsidR="00B5080C" w:rsidRDefault="00B5080C" w:rsidP="005C33C6">
                      <w:pPr>
                        <w:jc w:val="both"/>
                        <w:rPr>
                          <w:lang w:val="es-MX"/>
                        </w:rPr>
                      </w:pPr>
                    </w:p>
                    <w:p w:rsidR="00B5080C" w:rsidRPr="00A04E4A" w:rsidRDefault="00B5080C" w:rsidP="005C33C6">
                      <w:pPr>
                        <w:jc w:val="both"/>
                        <w:rPr>
                          <w:lang w:val="es-MX"/>
                        </w:rPr>
                      </w:pPr>
                    </w:p>
                  </w:txbxContent>
                </v:textbox>
              </v:shape>
            </w:pict>
          </mc:Fallback>
        </mc:AlternateContent>
      </w:r>
    </w:p>
    <w:p w:rsidR="00662B31" w:rsidRDefault="00662B31" w:rsidP="00662B31">
      <w:pPr>
        <w:spacing w:after="0" w:line="360" w:lineRule="auto"/>
        <w:ind w:firstLine="360"/>
        <w:jc w:val="both"/>
        <w:rPr>
          <w:sz w:val="24"/>
          <w:lang w:val="es-MX"/>
        </w:rPr>
      </w:pPr>
    </w:p>
    <w:p w:rsidR="00662B31" w:rsidRDefault="00662B31" w:rsidP="00662B31">
      <w:pPr>
        <w:spacing w:after="0" w:line="360" w:lineRule="auto"/>
        <w:ind w:firstLine="360"/>
        <w:jc w:val="both"/>
        <w:rPr>
          <w:sz w:val="24"/>
          <w:lang w:val="es-MX"/>
        </w:rPr>
      </w:pPr>
    </w:p>
    <w:p w:rsidR="00662B31" w:rsidRDefault="00662B31" w:rsidP="00662B31">
      <w:pPr>
        <w:spacing w:after="0" w:line="360" w:lineRule="auto"/>
        <w:ind w:firstLine="360"/>
        <w:jc w:val="both"/>
        <w:rPr>
          <w:sz w:val="24"/>
          <w:lang w:val="es-MX"/>
        </w:rPr>
      </w:pPr>
    </w:p>
    <w:p w:rsidR="00662B31" w:rsidRDefault="00662B31" w:rsidP="00662B31">
      <w:pPr>
        <w:spacing w:after="0" w:line="360" w:lineRule="auto"/>
        <w:jc w:val="both"/>
        <w:rPr>
          <w:sz w:val="24"/>
          <w:lang w:val="es-MX"/>
        </w:rPr>
      </w:pPr>
    </w:p>
    <w:p w:rsidR="00662B31" w:rsidRPr="007C355C" w:rsidRDefault="00662B31" w:rsidP="00662B31">
      <w:pPr>
        <w:spacing w:after="0" w:line="360" w:lineRule="auto"/>
        <w:jc w:val="both"/>
        <w:rPr>
          <w:sz w:val="24"/>
          <w:lang w:val="es-MX"/>
        </w:rPr>
      </w:pPr>
    </w:p>
    <w:p w:rsidR="00B5080C" w:rsidRDefault="00B5080C" w:rsidP="00662B31">
      <w:pPr>
        <w:spacing w:after="0" w:line="360" w:lineRule="auto"/>
        <w:rPr>
          <w:b/>
          <w:i/>
          <w:sz w:val="24"/>
          <w:lang w:val="es-MX"/>
        </w:rPr>
      </w:pPr>
    </w:p>
    <w:p w:rsidR="00B5080C" w:rsidRDefault="00B5080C" w:rsidP="00662B31">
      <w:pPr>
        <w:spacing w:after="0" w:line="360" w:lineRule="auto"/>
        <w:rPr>
          <w:b/>
          <w:i/>
          <w:sz w:val="24"/>
          <w:lang w:val="es-MX"/>
        </w:rPr>
      </w:pPr>
    </w:p>
    <w:p w:rsidR="00B5080C" w:rsidRDefault="00B5080C" w:rsidP="00662B31">
      <w:pPr>
        <w:spacing w:after="0" w:line="360" w:lineRule="auto"/>
        <w:rPr>
          <w:b/>
          <w:i/>
          <w:sz w:val="24"/>
          <w:lang w:val="es-MX"/>
        </w:rPr>
      </w:pPr>
    </w:p>
    <w:p w:rsidR="00662B31" w:rsidRPr="00A2489F" w:rsidRDefault="00662B31" w:rsidP="00662B31">
      <w:pPr>
        <w:spacing w:after="0" w:line="360" w:lineRule="auto"/>
        <w:rPr>
          <w:sz w:val="24"/>
          <w:lang w:val="es-MX"/>
        </w:rPr>
      </w:pPr>
      <w:r w:rsidRPr="00A2489F">
        <w:rPr>
          <w:b/>
          <w:i/>
          <w:sz w:val="24"/>
          <w:lang w:val="es-MX"/>
        </w:rPr>
        <w:t>Tabla 8</w:t>
      </w:r>
      <w:r>
        <w:rPr>
          <w:b/>
          <w:i/>
          <w:sz w:val="24"/>
          <w:lang w:val="es-MX"/>
        </w:rPr>
        <w:t xml:space="preserve">2.- </w:t>
      </w:r>
      <w:r w:rsidRPr="00A2489F">
        <w:rPr>
          <w:sz w:val="24"/>
          <w:lang w:val="es-MX"/>
        </w:rPr>
        <w:t>Describa las actividades realizadas:</w:t>
      </w:r>
    </w:p>
    <w:tbl>
      <w:tblPr>
        <w:tblStyle w:val="Tablaconcuadrcula"/>
        <w:tblW w:w="8930" w:type="dxa"/>
        <w:tblInd w:w="392" w:type="dxa"/>
        <w:tblLook w:val="04A0" w:firstRow="1" w:lastRow="0" w:firstColumn="1" w:lastColumn="0" w:noHBand="0" w:noVBand="1"/>
      </w:tblPr>
      <w:tblGrid>
        <w:gridCol w:w="4134"/>
        <w:gridCol w:w="4796"/>
      </w:tblGrid>
      <w:tr w:rsidR="00662B31" w:rsidRPr="00A2489F" w:rsidTr="0058591F">
        <w:tc>
          <w:tcPr>
            <w:tcW w:w="4134" w:type="dxa"/>
          </w:tcPr>
          <w:p w:rsidR="00662B31" w:rsidRDefault="00662B31" w:rsidP="0058591F">
            <w:pPr>
              <w:jc w:val="center"/>
              <w:rPr>
                <w:b/>
                <w:sz w:val="20"/>
                <w:szCs w:val="20"/>
                <w:lang w:val="es-MX"/>
              </w:rPr>
            </w:pPr>
          </w:p>
          <w:p w:rsidR="00662B31" w:rsidRDefault="00662B31" w:rsidP="0058591F">
            <w:pPr>
              <w:jc w:val="center"/>
              <w:rPr>
                <w:b/>
                <w:sz w:val="20"/>
                <w:szCs w:val="20"/>
                <w:lang w:val="es-MX"/>
              </w:rPr>
            </w:pPr>
            <w:r w:rsidRPr="00A2489F">
              <w:rPr>
                <w:b/>
                <w:sz w:val="20"/>
                <w:szCs w:val="20"/>
                <w:lang w:val="es-MX"/>
              </w:rPr>
              <w:t>ACTIVIDADES</w:t>
            </w:r>
          </w:p>
          <w:p w:rsidR="00662B31" w:rsidRPr="00A2489F" w:rsidRDefault="00662B31" w:rsidP="0058591F">
            <w:pPr>
              <w:jc w:val="center"/>
              <w:rPr>
                <w:b/>
                <w:sz w:val="20"/>
                <w:szCs w:val="20"/>
                <w:lang w:val="es-MX"/>
              </w:rPr>
            </w:pPr>
          </w:p>
        </w:tc>
        <w:tc>
          <w:tcPr>
            <w:tcW w:w="4796" w:type="dxa"/>
          </w:tcPr>
          <w:p w:rsidR="00662B31" w:rsidRDefault="00662B31" w:rsidP="0058591F">
            <w:pPr>
              <w:jc w:val="center"/>
              <w:rPr>
                <w:b/>
                <w:sz w:val="20"/>
                <w:szCs w:val="20"/>
                <w:lang w:val="es-MX"/>
              </w:rPr>
            </w:pPr>
          </w:p>
          <w:p w:rsidR="00662B31" w:rsidRPr="00A2489F" w:rsidRDefault="00662B31" w:rsidP="0058591F">
            <w:pPr>
              <w:jc w:val="center"/>
              <w:rPr>
                <w:b/>
                <w:sz w:val="20"/>
                <w:szCs w:val="20"/>
                <w:lang w:val="es-MX"/>
              </w:rPr>
            </w:pPr>
            <w:r w:rsidRPr="00A2489F">
              <w:rPr>
                <w:b/>
                <w:sz w:val="20"/>
                <w:szCs w:val="20"/>
                <w:lang w:val="es-MX"/>
              </w:rPr>
              <w:t>DESCRIPCIÓN</w:t>
            </w:r>
          </w:p>
        </w:tc>
      </w:tr>
      <w:tr w:rsidR="00662B31" w:rsidRPr="00A2489F" w:rsidTr="0058591F">
        <w:tc>
          <w:tcPr>
            <w:tcW w:w="4134" w:type="dxa"/>
          </w:tcPr>
          <w:p w:rsidR="00662B31" w:rsidRDefault="00662B31" w:rsidP="0058591F">
            <w:pPr>
              <w:jc w:val="both"/>
              <w:rPr>
                <w:sz w:val="20"/>
                <w:szCs w:val="20"/>
                <w:lang w:val="es-MX"/>
              </w:rPr>
            </w:pPr>
            <w:r w:rsidRPr="00A2489F">
              <w:rPr>
                <w:sz w:val="20"/>
                <w:szCs w:val="20"/>
                <w:lang w:val="es-MX"/>
              </w:rPr>
              <w:t>Informes Realizados</w:t>
            </w:r>
          </w:p>
          <w:p w:rsidR="00662B31" w:rsidRPr="00A2489F" w:rsidRDefault="00662B31" w:rsidP="0058591F">
            <w:pPr>
              <w:jc w:val="both"/>
              <w:rPr>
                <w:sz w:val="20"/>
                <w:szCs w:val="20"/>
                <w:lang w:val="es-MX"/>
              </w:rPr>
            </w:pPr>
          </w:p>
        </w:tc>
        <w:tc>
          <w:tcPr>
            <w:tcW w:w="4796" w:type="dxa"/>
          </w:tcPr>
          <w:p w:rsidR="00662B31" w:rsidRPr="00A2489F" w:rsidRDefault="006713DB" w:rsidP="0058591F">
            <w:pPr>
              <w:jc w:val="both"/>
              <w:rPr>
                <w:sz w:val="20"/>
                <w:szCs w:val="20"/>
                <w:lang w:val="es-MX"/>
              </w:rPr>
            </w:pPr>
            <w:r>
              <w:rPr>
                <w:sz w:val="20"/>
                <w:szCs w:val="20"/>
                <w:lang w:val="es-MX"/>
              </w:rPr>
              <w:t>1618</w:t>
            </w:r>
          </w:p>
        </w:tc>
      </w:tr>
      <w:tr w:rsidR="00662B31" w:rsidRPr="00A2489F" w:rsidTr="0058591F">
        <w:tc>
          <w:tcPr>
            <w:tcW w:w="4134" w:type="dxa"/>
          </w:tcPr>
          <w:p w:rsidR="00662B31" w:rsidRDefault="00662B31" w:rsidP="0058591F">
            <w:pPr>
              <w:jc w:val="both"/>
              <w:rPr>
                <w:sz w:val="20"/>
                <w:szCs w:val="20"/>
                <w:lang w:val="es-MX"/>
              </w:rPr>
            </w:pPr>
            <w:r w:rsidRPr="00A2489F">
              <w:rPr>
                <w:sz w:val="20"/>
                <w:szCs w:val="20"/>
                <w:lang w:val="es-MX"/>
              </w:rPr>
              <w:t>Trámites atendidos con  respuesta a consultas</w:t>
            </w:r>
          </w:p>
          <w:p w:rsidR="00662B31" w:rsidRPr="00A2489F" w:rsidRDefault="00662B31" w:rsidP="0058591F">
            <w:pPr>
              <w:jc w:val="both"/>
              <w:rPr>
                <w:sz w:val="20"/>
                <w:szCs w:val="20"/>
                <w:lang w:val="es-MX"/>
              </w:rPr>
            </w:pPr>
          </w:p>
        </w:tc>
        <w:tc>
          <w:tcPr>
            <w:tcW w:w="4796" w:type="dxa"/>
          </w:tcPr>
          <w:p w:rsidR="00662B31" w:rsidRPr="00A2489F" w:rsidRDefault="00B944B0" w:rsidP="0058591F">
            <w:pPr>
              <w:jc w:val="both"/>
              <w:rPr>
                <w:sz w:val="20"/>
                <w:szCs w:val="20"/>
                <w:lang w:val="es-MX"/>
              </w:rPr>
            </w:pPr>
            <w:r>
              <w:rPr>
                <w:sz w:val="20"/>
                <w:szCs w:val="20"/>
                <w:lang w:val="es-MX"/>
              </w:rPr>
              <w:t>109</w:t>
            </w:r>
          </w:p>
        </w:tc>
      </w:tr>
      <w:tr w:rsidR="00662B31" w:rsidRPr="00A2489F" w:rsidTr="0058591F">
        <w:tc>
          <w:tcPr>
            <w:tcW w:w="4134" w:type="dxa"/>
          </w:tcPr>
          <w:p w:rsidR="00662B31" w:rsidRDefault="00662B31" w:rsidP="0058591F">
            <w:pPr>
              <w:jc w:val="both"/>
              <w:rPr>
                <w:sz w:val="20"/>
                <w:szCs w:val="20"/>
                <w:lang w:val="es-MX"/>
              </w:rPr>
            </w:pPr>
            <w:r w:rsidRPr="00A2489F">
              <w:rPr>
                <w:sz w:val="20"/>
                <w:szCs w:val="20"/>
                <w:lang w:val="es-MX"/>
              </w:rPr>
              <w:t>Proyectos desarrollados</w:t>
            </w:r>
          </w:p>
          <w:p w:rsidR="00662B31" w:rsidRPr="00A2489F" w:rsidRDefault="00662B31" w:rsidP="0058591F">
            <w:pPr>
              <w:jc w:val="both"/>
              <w:rPr>
                <w:sz w:val="20"/>
                <w:szCs w:val="20"/>
                <w:lang w:val="es-MX"/>
              </w:rPr>
            </w:pPr>
          </w:p>
        </w:tc>
        <w:tc>
          <w:tcPr>
            <w:tcW w:w="4796" w:type="dxa"/>
          </w:tcPr>
          <w:p w:rsidR="00662B31" w:rsidRPr="00A2489F" w:rsidRDefault="006713DB" w:rsidP="0058591F">
            <w:pPr>
              <w:jc w:val="both"/>
              <w:rPr>
                <w:sz w:val="20"/>
                <w:szCs w:val="20"/>
                <w:lang w:val="es-MX"/>
              </w:rPr>
            </w:pPr>
            <w:r>
              <w:rPr>
                <w:sz w:val="20"/>
                <w:szCs w:val="20"/>
                <w:lang w:val="es-MX"/>
              </w:rPr>
              <w:t>2</w:t>
            </w:r>
          </w:p>
        </w:tc>
      </w:tr>
      <w:tr w:rsidR="00662B31" w:rsidRPr="00A2489F" w:rsidTr="0058591F">
        <w:tc>
          <w:tcPr>
            <w:tcW w:w="4134" w:type="dxa"/>
          </w:tcPr>
          <w:p w:rsidR="00662B31" w:rsidRDefault="00662B31" w:rsidP="0058591F">
            <w:pPr>
              <w:jc w:val="both"/>
              <w:rPr>
                <w:sz w:val="20"/>
                <w:szCs w:val="20"/>
                <w:lang w:val="es-MX"/>
              </w:rPr>
            </w:pPr>
            <w:r w:rsidRPr="00A2489F">
              <w:rPr>
                <w:sz w:val="20"/>
                <w:szCs w:val="20"/>
                <w:lang w:val="es-MX"/>
              </w:rPr>
              <w:t>Cooperación  con  Organismos nacionales</w:t>
            </w:r>
          </w:p>
          <w:p w:rsidR="00662B31" w:rsidRPr="00A2489F" w:rsidRDefault="00662B31" w:rsidP="0058591F">
            <w:pPr>
              <w:jc w:val="both"/>
              <w:rPr>
                <w:sz w:val="20"/>
                <w:szCs w:val="20"/>
                <w:lang w:val="es-MX"/>
              </w:rPr>
            </w:pPr>
          </w:p>
        </w:tc>
        <w:tc>
          <w:tcPr>
            <w:tcW w:w="4796" w:type="dxa"/>
          </w:tcPr>
          <w:p w:rsidR="00662B31" w:rsidRPr="00A2489F" w:rsidRDefault="00224A70" w:rsidP="0058591F">
            <w:pPr>
              <w:jc w:val="both"/>
              <w:rPr>
                <w:sz w:val="20"/>
                <w:szCs w:val="20"/>
                <w:lang w:val="es-MX"/>
              </w:rPr>
            </w:pPr>
            <w:r>
              <w:rPr>
                <w:sz w:val="20"/>
                <w:szCs w:val="20"/>
                <w:lang w:val="es-MX"/>
              </w:rPr>
              <w:t>4</w:t>
            </w:r>
          </w:p>
        </w:tc>
      </w:tr>
      <w:tr w:rsidR="00662B31" w:rsidRPr="00A2489F" w:rsidTr="0058591F">
        <w:tc>
          <w:tcPr>
            <w:tcW w:w="4134" w:type="dxa"/>
          </w:tcPr>
          <w:p w:rsidR="00662B31" w:rsidRDefault="00662B31" w:rsidP="0058591F">
            <w:pPr>
              <w:jc w:val="both"/>
              <w:rPr>
                <w:sz w:val="20"/>
                <w:szCs w:val="20"/>
                <w:lang w:val="es-MX"/>
              </w:rPr>
            </w:pPr>
            <w:r w:rsidRPr="00A2489F">
              <w:rPr>
                <w:sz w:val="20"/>
                <w:szCs w:val="20"/>
                <w:lang w:val="es-MX"/>
              </w:rPr>
              <w:t>Empresas en  Liquidación</w:t>
            </w:r>
          </w:p>
          <w:p w:rsidR="00662B31" w:rsidRPr="00A2489F" w:rsidRDefault="00662B31" w:rsidP="0058591F">
            <w:pPr>
              <w:jc w:val="both"/>
              <w:rPr>
                <w:sz w:val="20"/>
                <w:szCs w:val="20"/>
                <w:lang w:val="es-MX"/>
              </w:rPr>
            </w:pPr>
          </w:p>
        </w:tc>
        <w:tc>
          <w:tcPr>
            <w:tcW w:w="4796" w:type="dxa"/>
          </w:tcPr>
          <w:p w:rsidR="00662B31" w:rsidRPr="00A2489F" w:rsidRDefault="00224A70" w:rsidP="0058591F">
            <w:pPr>
              <w:jc w:val="both"/>
              <w:rPr>
                <w:sz w:val="20"/>
                <w:szCs w:val="20"/>
                <w:lang w:val="es-MX"/>
              </w:rPr>
            </w:pPr>
            <w:r>
              <w:rPr>
                <w:sz w:val="20"/>
                <w:szCs w:val="20"/>
                <w:lang w:val="es-MX"/>
              </w:rPr>
              <w:t>0</w:t>
            </w:r>
          </w:p>
        </w:tc>
      </w:tr>
    </w:tbl>
    <w:p w:rsidR="00662B31" w:rsidRDefault="00662B31" w:rsidP="00662B31">
      <w:pPr>
        <w:spacing w:after="0" w:line="360" w:lineRule="auto"/>
        <w:jc w:val="both"/>
        <w:rPr>
          <w:sz w:val="24"/>
          <w:lang w:val="es-MX"/>
        </w:rPr>
      </w:pPr>
    </w:p>
    <w:p w:rsidR="00662B31" w:rsidRDefault="00662B31" w:rsidP="00662B31">
      <w:pPr>
        <w:spacing w:after="0" w:line="360" w:lineRule="auto"/>
        <w:jc w:val="both"/>
        <w:rPr>
          <w:b/>
          <w:sz w:val="24"/>
          <w:lang w:val="es-MX"/>
        </w:rPr>
      </w:pPr>
      <w:r w:rsidRPr="004F6990">
        <w:rPr>
          <w:b/>
          <w:sz w:val="24"/>
          <w:lang w:val="es-MX"/>
        </w:rPr>
        <w:t>Control Técnico de Seguros.-  Gestión  realizada:</w:t>
      </w:r>
    </w:p>
    <w:p w:rsidR="00662B31" w:rsidRDefault="00662B31" w:rsidP="00662B31">
      <w:pPr>
        <w:spacing w:after="0" w:line="360" w:lineRule="auto"/>
        <w:jc w:val="both"/>
        <w:rPr>
          <w:b/>
          <w:sz w:val="24"/>
          <w:lang w:val="es-MX"/>
        </w:rPr>
      </w:pPr>
      <w:r>
        <w:rPr>
          <w:noProof/>
          <w:sz w:val="24"/>
          <w:lang w:eastAsia="es-EC"/>
        </w:rPr>
        <mc:AlternateContent>
          <mc:Choice Requires="wps">
            <w:drawing>
              <wp:anchor distT="0" distB="0" distL="114300" distR="114300" simplePos="0" relativeHeight="251660288" behindDoc="0" locked="0" layoutInCell="1" allowOverlap="1" wp14:anchorId="6A0AE036" wp14:editId="3E486FBA">
                <wp:simplePos x="0" y="0"/>
                <wp:positionH relativeFrom="column">
                  <wp:posOffset>46916</wp:posOffset>
                </wp:positionH>
                <wp:positionV relativeFrom="paragraph">
                  <wp:posOffset>-2274</wp:posOffset>
                </wp:positionV>
                <wp:extent cx="5734050" cy="1935125"/>
                <wp:effectExtent l="0" t="0" r="19050" b="27305"/>
                <wp:wrapNone/>
                <wp:docPr id="121" name="121 Cuadro de texto"/>
                <wp:cNvGraphicFramePr/>
                <a:graphic xmlns:a="http://schemas.openxmlformats.org/drawingml/2006/main">
                  <a:graphicData uri="http://schemas.microsoft.com/office/word/2010/wordprocessingShape">
                    <wps:wsp>
                      <wps:cNvSpPr txBox="1"/>
                      <wps:spPr>
                        <a:xfrm>
                          <a:off x="0" y="0"/>
                          <a:ext cx="5734050" cy="19351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D74B8" w:rsidRPr="00FD74B8" w:rsidRDefault="00FD74B8" w:rsidP="00FD74B8">
                            <w:pPr>
                              <w:spacing w:line="240" w:lineRule="auto"/>
                              <w:jc w:val="both"/>
                              <w:rPr>
                                <w:sz w:val="19"/>
                                <w:szCs w:val="19"/>
                                <w:lang w:val="es-ES"/>
                              </w:rPr>
                            </w:pPr>
                            <w:r w:rsidRPr="00FD74B8">
                              <w:rPr>
                                <w:sz w:val="19"/>
                                <w:szCs w:val="19"/>
                                <w:lang w:val="es-ES"/>
                              </w:rPr>
                              <w:t xml:space="preserve">Durante el año 2022 se ha supervisado 18 Empresas de Seguros, se realizó la Supervisión y seguimiento para que cada una de la Compañías actualice los </w:t>
                            </w:r>
                            <w:r w:rsidRPr="00FD74B8">
                              <w:rPr>
                                <w:b/>
                                <w:sz w:val="19"/>
                                <w:szCs w:val="19"/>
                                <w:lang w:val="es-ES"/>
                              </w:rPr>
                              <w:t>documentos de suscripción</w:t>
                            </w:r>
                            <w:r w:rsidRPr="00FD74B8">
                              <w:rPr>
                                <w:sz w:val="19"/>
                                <w:szCs w:val="19"/>
                                <w:lang w:val="es-ES"/>
                              </w:rPr>
                              <w:t xml:space="preserve"> que mantienen registrados en esta Superintendencia, de acuerdo a las normas vigentes y a las disposiciones del Código de Comercio, así como la actualización de </w:t>
                            </w:r>
                            <w:r w:rsidRPr="00FD74B8">
                              <w:rPr>
                                <w:b/>
                                <w:sz w:val="19"/>
                                <w:szCs w:val="19"/>
                                <w:lang w:val="es-ES"/>
                              </w:rPr>
                              <w:t>las notas técnicas</w:t>
                            </w:r>
                            <w:r w:rsidRPr="00FD74B8">
                              <w:rPr>
                                <w:sz w:val="19"/>
                                <w:szCs w:val="19"/>
                                <w:lang w:val="es-ES"/>
                              </w:rPr>
                              <w:t xml:space="preserve"> que respaldan cada producto a comercializar.  .</w:t>
                            </w:r>
                          </w:p>
                          <w:p w:rsidR="00FD74B8" w:rsidRPr="00FD74B8" w:rsidRDefault="00FD74B8" w:rsidP="00FD74B8">
                            <w:pPr>
                              <w:pStyle w:val="Sinespaciado"/>
                              <w:spacing w:line="264" w:lineRule="auto"/>
                              <w:ind w:right="49"/>
                              <w:jc w:val="both"/>
                              <w:rPr>
                                <w:sz w:val="19"/>
                                <w:szCs w:val="19"/>
                              </w:rPr>
                            </w:pPr>
                            <w:r w:rsidRPr="00FD74B8">
                              <w:rPr>
                                <w:sz w:val="19"/>
                                <w:szCs w:val="19"/>
                              </w:rPr>
                              <w:t>Se inició un Procedimiento administrativo Sancionador a INTEROCEÁNICA COMPAÑÍA ANÓNIMA DE SEGUROS, por la falta de registro de contratos de reaseguros por los periodos julio 2020- junio 2021.</w:t>
                            </w:r>
                          </w:p>
                          <w:p w:rsidR="00FD74B8" w:rsidRPr="00FD74B8" w:rsidRDefault="00FD74B8" w:rsidP="00FD74B8">
                            <w:pPr>
                              <w:pStyle w:val="Sinespaciado"/>
                              <w:spacing w:line="264" w:lineRule="auto"/>
                              <w:ind w:right="49"/>
                              <w:jc w:val="both"/>
                              <w:rPr>
                                <w:sz w:val="19"/>
                                <w:szCs w:val="19"/>
                              </w:rPr>
                            </w:pPr>
                          </w:p>
                          <w:p w:rsidR="00662B31" w:rsidRDefault="00FD74B8" w:rsidP="00FD74B8">
                            <w:r w:rsidRPr="00FD74B8">
                              <w:rPr>
                                <w:sz w:val="19"/>
                                <w:szCs w:val="19"/>
                              </w:rPr>
                              <w:t xml:space="preserve">Durante este año además </w:t>
                            </w:r>
                            <w:r w:rsidRPr="00FD74B8">
                              <w:rPr>
                                <w:b/>
                                <w:sz w:val="19"/>
                                <w:szCs w:val="19"/>
                              </w:rPr>
                              <w:t xml:space="preserve">se implementó el proceso de revisión simplificado para el material de suscripción de las Empresa de medicina prepagada, </w:t>
                            </w:r>
                            <w:r w:rsidRPr="00FD74B8">
                              <w:rPr>
                                <w:sz w:val="19"/>
                                <w:szCs w:val="19"/>
                              </w:rPr>
                              <w:t>lo cual ha permitido aprobaciones en menor tiempo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21 Cuadro de texto" o:spid="_x0000_s1027" type="#_x0000_t202" style="position:absolute;left:0;text-align:left;margin-left:3.7pt;margin-top:-.2pt;width:451.5pt;height:15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" fillcolor="white [3201]" strokeweight=".5pt">
                <v:textbox>
                  <w:txbxContent>
                    <w:p w:rsidR="00FD74B8" w:rsidRPr="00FD74B8" w:rsidRDefault="00FD74B8" w:rsidP="00FD74B8">
                      <w:pPr>
                        <w:spacing w:line="240" w:lineRule="auto"/>
                        <w:jc w:val="both"/>
                        <w:rPr>
                          <w:sz w:val="19"/>
                          <w:szCs w:val="19"/>
                          <w:lang w:val="es-ES"/>
                        </w:rPr>
                      </w:pPr>
                      <w:r w:rsidRPr="00FD74B8">
                        <w:rPr>
                          <w:sz w:val="19"/>
                          <w:szCs w:val="19"/>
                          <w:lang w:val="es-ES"/>
                        </w:rPr>
                        <w:t xml:space="preserve">Durante el año 2022 se ha supervisado 18 Empresas de Seguros, se realizó la Supervisión y seguimiento para que cada una de la Compañías actualice los </w:t>
                      </w:r>
                      <w:r w:rsidRPr="00FD74B8">
                        <w:rPr>
                          <w:b/>
                          <w:sz w:val="19"/>
                          <w:szCs w:val="19"/>
                          <w:lang w:val="es-ES"/>
                        </w:rPr>
                        <w:t>documentos de suscripción</w:t>
                      </w:r>
                      <w:r w:rsidRPr="00FD74B8">
                        <w:rPr>
                          <w:sz w:val="19"/>
                          <w:szCs w:val="19"/>
                          <w:lang w:val="es-ES"/>
                        </w:rPr>
                        <w:t xml:space="preserve"> que mantienen registrados en esta Superintendencia, de acuerdo a las normas vigentes y a las disposiciones del Código de Comercio, así como la actualización de </w:t>
                      </w:r>
                      <w:r w:rsidRPr="00FD74B8">
                        <w:rPr>
                          <w:b/>
                          <w:sz w:val="19"/>
                          <w:szCs w:val="19"/>
                          <w:lang w:val="es-ES"/>
                        </w:rPr>
                        <w:t>las notas técnicas</w:t>
                      </w:r>
                      <w:r w:rsidRPr="00FD74B8">
                        <w:rPr>
                          <w:sz w:val="19"/>
                          <w:szCs w:val="19"/>
                          <w:lang w:val="es-ES"/>
                        </w:rPr>
                        <w:t xml:space="preserve"> que respaldan cada producto a comercializar.  .</w:t>
                      </w:r>
                    </w:p>
                    <w:p w:rsidR="00FD74B8" w:rsidRPr="00FD74B8" w:rsidRDefault="00FD74B8" w:rsidP="00FD74B8">
                      <w:pPr>
                        <w:pStyle w:val="Sinespaciado"/>
                        <w:spacing w:line="264" w:lineRule="auto"/>
                        <w:ind w:right="49"/>
                        <w:jc w:val="both"/>
                        <w:rPr>
                          <w:sz w:val="19"/>
                          <w:szCs w:val="19"/>
                        </w:rPr>
                      </w:pPr>
                      <w:r w:rsidRPr="00FD74B8">
                        <w:rPr>
                          <w:sz w:val="19"/>
                          <w:szCs w:val="19"/>
                        </w:rPr>
                        <w:t>Se inició un Procedimiento administrativo Sancionador a INTEROCEÁNICA COMPAÑÍA ANÓNIMA DE SEGUROS, por la falta de registro de contratos de reaseguros por los periodos julio 2020- junio 2021.</w:t>
                      </w:r>
                    </w:p>
                    <w:p w:rsidR="00FD74B8" w:rsidRPr="00FD74B8" w:rsidRDefault="00FD74B8" w:rsidP="00FD74B8">
                      <w:pPr>
                        <w:pStyle w:val="Sinespaciado"/>
                        <w:spacing w:line="264" w:lineRule="auto"/>
                        <w:ind w:right="49"/>
                        <w:jc w:val="both"/>
                        <w:rPr>
                          <w:sz w:val="19"/>
                          <w:szCs w:val="19"/>
                        </w:rPr>
                      </w:pPr>
                    </w:p>
                    <w:p w:rsidR="00662B31" w:rsidRDefault="00FD74B8" w:rsidP="00FD74B8">
                      <w:r w:rsidRPr="00FD74B8">
                        <w:rPr>
                          <w:sz w:val="19"/>
                          <w:szCs w:val="19"/>
                        </w:rPr>
                        <w:t xml:space="preserve">Durante este año además </w:t>
                      </w:r>
                      <w:r w:rsidRPr="00FD74B8">
                        <w:rPr>
                          <w:b/>
                          <w:sz w:val="19"/>
                          <w:szCs w:val="19"/>
                        </w:rPr>
                        <w:t xml:space="preserve">se implementó el proceso de revisión simplificado para el material de suscripción de las Empresa de medicina prepagada, </w:t>
                      </w:r>
                      <w:r w:rsidRPr="00FD74B8">
                        <w:rPr>
                          <w:sz w:val="19"/>
                          <w:szCs w:val="19"/>
                        </w:rPr>
                        <w:t>lo cual ha permitido aprobaciones en menor tiempo</w:t>
                      </w:r>
                    </w:p>
                  </w:txbxContent>
                </v:textbox>
              </v:shape>
            </w:pict>
          </mc:Fallback>
        </mc:AlternateContent>
      </w:r>
    </w:p>
    <w:p w:rsidR="00662B31" w:rsidRDefault="00662B31" w:rsidP="00662B31">
      <w:pPr>
        <w:spacing w:after="0" w:line="360" w:lineRule="auto"/>
        <w:jc w:val="both"/>
        <w:rPr>
          <w:b/>
          <w:sz w:val="24"/>
          <w:lang w:val="es-MX"/>
        </w:rPr>
      </w:pPr>
    </w:p>
    <w:p w:rsidR="00662B31" w:rsidRDefault="00662B31" w:rsidP="00662B31">
      <w:pPr>
        <w:spacing w:after="0" w:line="360" w:lineRule="auto"/>
        <w:jc w:val="both"/>
        <w:rPr>
          <w:b/>
          <w:sz w:val="24"/>
          <w:lang w:val="es-MX"/>
        </w:rPr>
      </w:pPr>
    </w:p>
    <w:p w:rsidR="00662B31" w:rsidRDefault="00662B31" w:rsidP="00662B31">
      <w:pPr>
        <w:spacing w:after="0" w:line="360" w:lineRule="auto"/>
        <w:jc w:val="both"/>
        <w:rPr>
          <w:b/>
          <w:sz w:val="24"/>
          <w:lang w:val="es-MX"/>
        </w:rPr>
      </w:pPr>
    </w:p>
    <w:p w:rsidR="00662B31" w:rsidRPr="004F6990" w:rsidRDefault="00662B31" w:rsidP="00662B31">
      <w:pPr>
        <w:spacing w:after="0" w:line="360" w:lineRule="auto"/>
        <w:jc w:val="both"/>
        <w:rPr>
          <w:b/>
          <w:sz w:val="24"/>
          <w:lang w:val="es-MX"/>
        </w:rPr>
      </w:pPr>
    </w:p>
    <w:p w:rsidR="00662B31" w:rsidRDefault="00662B31" w:rsidP="00662B31">
      <w:pPr>
        <w:spacing w:after="0" w:line="360" w:lineRule="auto"/>
        <w:jc w:val="both"/>
        <w:rPr>
          <w:sz w:val="24"/>
          <w:lang w:val="es-MX"/>
        </w:rPr>
      </w:pPr>
    </w:p>
    <w:p w:rsidR="00662B31" w:rsidRDefault="00662B31" w:rsidP="00662B31">
      <w:pPr>
        <w:spacing w:after="0" w:line="360" w:lineRule="auto"/>
        <w:jc w:val="both"/>
        <w:rPr>
          <w:sz w:val="24"/>
          <w:lang w:val="es-MX"/>
        </w:rPr>
      </w:pPr>
    </w:p>
    <w:p w:rsidR="00662B31" w:rsidRDefault="00662B31" w:rsidP="00662B31">
      <w:pPr>
        <w:spacing w:after="0" w:line="360" w:lineRule="auto"/>
        <w:jc w:val="both"/>
        <w:rPr>
          <w:sz w:val="24"/>
          <w:lang w:val="es-MX"/>
        </w:rPr>
      </w:pPr>
    </w:p>
    <w:p w:rsidR="00662B31" w:rsidRDefault="00662B31" w:rsidP="00662B31">
      <w:pPr>
        <w:spacing w:after="0" w:line="360" w:lineRule="auto"/>
        <w:rPr>
          <w:b/>
          <w:sz w:val="24"/>
          <w:lang w:val="es-MX"/>
        </w:rPr>
      </w:pPr>
      <w:r w:rsidRPr="003A1222">
        <w:rPr>
          <w:b/>
          <w:i/>
          <w:sz w:val="24"/>
          <w:lang w:val="es-MX"/>
        </w:rPr>
        <w:lastRenderedPageBreak/>
        <w:t xml:space="preserve">Tabla </w:t>
      </w:r>
      <w:r>
        <w:rPr>
          <w:b/>
          <w:i/>
          <w:sz w:val="24"/>
          <w:lang w:val="es-MX"/>
        </w:rPr>
        <w:t>83</w:t>
      </w:r>
      <w:r w:rsidRPr="003A1222">
        <w:rPr>
          <w:b/>
          <w:i/>
          <w:sz w:val="24"/>
          <w:lang w:val="es-MX"/>
        </w:rPr>
        <w:t>.-</w:t>
      </w:r>
      <w:r>
        <w:rPr>
          <w:b/>
          <w:sz w:val="24"/>
          <w:lang w:val="es-MX"/>
        </w:rPr>
        <w:t xml:space="preserve"> </w:t>
      </w:r>
      <w:r w:rsidRPr="00FA03FE">
        <w:rPr>
          <w:sz w:val="24"/>
          <w:lang w:val="es-MX"/>
        </w:rPr>
        <w:t>Describa las actividades realizadas por Control Técnico de Seguros:</w:t>
      </w:r>
      <w:r>
        <w:rPr>
          <w:b/>
          <w:sz w:val="24"/>
          <w:lang w:val="es-MX"/>
        </w:rPr>
        <w:t xml:space="preserve">  </w:t>
      </w:r>
    </w:p>
    <w:tbl>
      <w:tblPr>
        <w:tblStyle w:val="Tablaconcuadrcula"/>
        <w:tblW w:w="9181" w:type="dxa"/>
        <w:tblInd w:w="250" w:type="dxa"/>
        <w:tblLook w:val="04A0" w:firstRow="1" w:lastRow="0" w:firstColumn="1" w:lastColumn="0" w:noHBand="0" w:noVBand="1"/>
      </w:tblPr>
      <w:tblGrid>
        <w:gridCol w:w="5324"/>
        <w:gridCol w:w="3857"/>
      </w:tblGrid>
      <w:tr w:rsidR="00662B31" w:rsidRPr="003A1222" w:rsidTr="0058591F">
        <w:trPr>
          <w:trHeight w:val="505"/>
        </w:trPr>
        <w:tc>
          <w:tcPr>
            <w:tcW w:w="5324" w:type="dxa"/>
          </w:tcPr>
          <w:p w:rsidR="00662B31" w:rsidRPr="003A1222" w:rsidRDefault="00662B31" w:rsidP="0058591F">
            <w:pPr>
              <w:jc w:val="center"/>
              <w:rPr>
                <w:b/>
                <w:sz w:val="20"/>
                <w:szCs w:val="20"/>
                <w:lang w:val="es-MX"/>
              </w:rPr>
            </w:pPr>
            <w:r w:rsidRPr="003A1222">
              <w:rPr>
                <w:b/>
                <w:sz w:val="20"/>
                <w:szCs w:val="20"/>
                <w:lang w:val="es-MX"/>
              </w:rPr>
              <w:t>ACTIVIDADES</w:t>
            </w:r>
          </w:p>
          <w:p w:rsidR="00662B31" w:rsidRPr="003A1222" w:rsidRDefault="00662B31" w:rsidP="0058591F">
            <w:pPr>
              <w:jc w:val="center"/>
              <w:rPr>
                <w:b/>
                <w:sz w:val="20"/>
                <w:szCs w:val="20"/>
                <w:lang w:val="es-MX"/>
              </w:rPr>
            </w:pPr>
          </w:p>
        </w:tc>
        <w:tc>
          <w:tcPr>
            <w:tcW w:w="3857" w:type="dxa"/>
          </w:tcPr>
          <w:p w:rsidR="00662B31" w:rsidRPr="003A1222" w:rsidRDefault="00662B31" w:rsidP="0058591F">
            <w:pPr>
              <w:jc w:val="center"/>
              <w:rPr>
                <w:b/>
                <w:sz w:val="20"/>
                <w:szCs w:val="20"/>
                <w:lang w:val="es-MX"/>
              </w:rPr>
            </w:pPr>
            <w:r w:rsidRPr="003A1222">
              <w:rPr>
                <w:b/>
                <w:sz w:val="20"/>
                <w:szCs w:val="20"/>
                <w:lang w:val="es-MX"/>
              </w:rPr>
              <w:t>DESCRIPCIÓN</w:t>
            </w:r>
          </w:p>
        </w:tc>
      </w:tr>
      <w:tr w:rsidR="00662B31" w:rsidRPr="003A1222" w:rsidTr="0058591F">
        <w:trPr>
          <w:trHeight w:val="490"/>
        </w:trPr>
        <w:tc>
          <w:tcPr>
            <w:tcW w:w="5324" w:type="dxa"/>
          </w:tcPr>
          <w:p w:rsidR="00662B31" w:rsidRPr="003A1222" w:rsidRDefault="00662B31" w:rsidP="0058591F">
            <w:pPr>
              <w:jc w:val="both"/>
              <w:rPr>
                <w:sz w:val="20"/>
                <w:szCs w:val="20"/>
                <w:lang w:val="es-MX"/>
              </w:rPr>
            </w:pPr>
            <w:r w:rsidRPr="003A1222">
              <w:rPr>
                <w:sz w:val="20"/>
                <w:szCs w:val="20"/>
                <w:lang w:val="es-MX"/>
              </w:rPr>
              <w:t xml:space="preserve">Control de contratos </w:t>
            </w:r>
          </w:p>
          <w:p w:rsidR="00662B31" w:rsidRPr="003A1222" w:rsidRDefault="00662B31" w:rsidP="0058591F">
            <w:pPr>
              <w:jc w:val="both"/>
              <w:rPr>
                <w:sz w:val="20"/>
                <w:szCs w:val="20"/>
                <w:lang w:val="es-MX"/>
              </w:rPr>
            </w:pPr>
          </w:p>
        </w:tc>
        <w:tc>
          <w:tcPr>
            <w:tcW w:w="3857" w:type="dxa"/>
          </w:tcPr>
          <w:p w:rsidR="00662B31" w:rsidRPr="003A1222" w:rsidRDefault="00662B31" w:rsidP="0058591F">
            <w:pPr>
              <w:jc w:val="both"/>
              <w:rPr>
                <w:sz w:val="20"/>
                <w:szCs w:val="20"/>
                <w:lang w:val="es-MX"/>
              </w:rPr>
            </w:pPr>
            <w:r>
              <w:rPr>
                <w:sz w:val="20"/>
                <w:szCs w:val="20"/>
                <w:lang w:val="es-MX"/>
              </w:rPr>
              <w:t>2164</w:t>
            </w:r>
          </w:p>
        </w:tc>
      </w:tr>
      <w:tr w:rsidR="00662B31" w:rsidRPr="003A1222" w:rsidTr="0058591F">
        <w:trPr>
          <w:trHeight w:val="490"/>
        </w:trPr>
        <w:tc>
          <w:tcPr>
            <w:tcW w:w="5324" w:type="dxa"/>
          </w:tcPr>
          <w:p w:rsidR="00662B31" w:rsidRPr="003A1222" w:rsidRDefault="00662B31" w:rsidP="0058591F">
            <w:pPr>
              <w:jc w:val="both"/>
              <w:rPr>
                <w:sz w:val="20"/>
                <w:szCs w:val="20"/>
                <w:lang w:val="es-MX"/>
              </w:rPr>
            </w:pPr>
            <w:r w:rsidRPr="003A1222">
              <w:rPr>
                <w:sz w:val="20"/>
                <w:szCs w:val="20"/>
                <w:lang w:val="es-MX"/>
              </w:rPr>
              <w:t>Trámites atendidos de respuestas a consultas</w:t>
            </w:r>
          </w:p>
          <w:p w:rsidR="00662B31" w:rsidRPr="003A1222" w:rsidRDefault="00662B31" w:rsidP="0058591F">
            <w:pPr>
              <w:jc w:val="both"/>
              <w:rPr>
                <w:sz w:val="20"/>
                <w:szCs w:val="20"/>
                <w:lang w:val="es-MX"/>
              </w:rPr>
            </w:pPr>
          </w:p>
        </w:tc>
        <w:tc>
          <w:tcPr>
            <w:tcW w:w="3857" w:type="dxa"/>
          </w:tcPr>
          <w:p w:rsidR="00662B31" w:rsidRPr="003A1222" w:rsidRDefault="00662B31" w:rsidP="0058591F">
            <w:pPr>
              <w:jc w:val="both"/>
              <w:rPr>
                <w:sz w:val="20"/>
                <w:szCs w:val="20"/>
                <w:lang w:val="es-MX"/>
              </w:rPr>
            </w:pPr>
            <w:r>
              <w:rPr>
                <w:sz w:val="20"/>
                <w:szCs w:val="20"/>
                <w:lang w:val="es-MX"/>
              </w:rPr>
              <w:t>32</w:t>
            </w:r>
          </w:p>
        </w:tc>
      </w:tr>
      <w:tr w:rsidR="00662B31" w:rsidRPr="003A1222" w:rsidTr="0058591F">
        <w:trPr>
          <w:trHeight w:val="490"/>
        </w:trPr>
        <w:tc>
          <w:tcPr>
            <w:tcW w:w="5324" w:type="dxa"/>
          </w:tcPr>
          <w:p w:rsidR="00662B31" w:rsidRPr="003A1222" w:rsidRDefault="00662B31" w:rsidP="0058591F">
            <w:pPr>
              <w:jc w:val="both"/>
              <w:rPr>
                <w:sz w:val="20"/>
                <w:szCs w:val="20"/>
                <w:lang w:val="es-MX"/>
              </w:rPr>
            </w:pPr>
            <w:r w:rsidRPr="003A1222">
              <w:rPr>
                <w:sz w:val="20"/>
                <w:szCs w:val="20"/>
                <w:lang w:val="es-MX"/>
              </w:rPr>
              <w:t>Proyectos de mejoramiento de la Dirección  Regional de Seguros</w:t>
            </w:r>
          </w:p>
          <w:p w:rsidR="00662B31" w:rsidRPr="003A1222" w:rsidRDefault="00662B31" w:rsidP="0058591F">
            <w:pPr>
              <w:jc w:val="both"/>
              <w:rPr>
                <w:sz w:val="20"/>
                <w:szCs w:val="20"/>
                <w:lang w:val="es-MX"/>
              </w:rPr>
            </w:pPr>
          </w:p>
        </w:tc>
        <w:tc>
          <w:tcPr>
            <w:tcW w:w="3857" w:type="dxa"/>
          </w:tcPr>
          <w:p w:rsidR="00662B31" w:rsidRPr="003A1222" w:rsidRDefault="00662B31" w:rsidP="0058591F">
            <w:pPr>
              <w:jc w:val="both"/>
              <w:rPr>
                <w:sz w:val="20"/>
                <w:szCs w:val="20"/>
                <w:lang w:val="es-MX"/>
              </w:rPr>
            </w:pPr>
            <w:r>
              <w:rPr>
                <w:sz w:val="20"/>
                <w:szCs w:val="20"/>
                <w:lang w:val="es-MX"/>
              </w:rPr>
              <w:t>3</w:t>
            </w:r>
          </w:p>
        </w:tc>
      </w:tr>
      <w:tr w:rsidR="00662B31" w:rsidRPr="003A1222" w:rsidTr="0058591F">
        <w:trPr>
          <w:trHeight w:val="490"/>
        </w:trPr>
        <w:tc>
          <w:tcPr>
            <w:tcW w:w="5324" w:type="dxa"/>
          </w:tcPr>
          <w:p w:rsidR="00662B31" w:rsidRPr="003A1222" w:rsidRDefault="00662B31" w:rsidP="0058591F">
            <w:pPr>
              <w:jc w:val="both"/>
              <w:rPr>
                <w:sz w:val="20"/>
                <w:szCs w:val="20"/>
                <w:lang w:val="es-MX"/>
              </w:rPr>
            </w:pPr>
            <w:r w:rsidRPr="003A1222">
              <w:rPr>
                <w:sz w:val="20"/>
                <w:szCs w:val="20"/>
                <w:lang w:val="es-MX"/>
              </w:rPr>
              <w:t>Atención  a usuarios</w:t>
            </w:r>
          </w:p>
          <w:p w:rsidR="00662B31" w:rsidRPr="003A1222" w:rsidRDefault="00662B31" w:rsidP="0058591F">
            <w:pPr>
              <w:jc w:val="both"/>
              <w:rPr>
                <w:sz w:val="20"/>
                <w:szCs w:val="20"/>
                <w:lang w:val="es-MX"/>
              </w:rPr>
            </w:pPr>
          </w:p>
        </w:tc>
        <w:tc>
          <w:tcPr>
            <w:tcW w:w="3857" w:type="dxa"/>
          </w:tcPr>
          <w:p w:rsidR="00662B31" w:rsidRPr="003A1222" w:rsidRDefault="00662B31" w:rsidP="0058591F">
            <w:pPr>
              <w:jc w:val="both"/>
              <w:rPr>
                <w:sz w:val="20"/>
                <w:szCs w:val="20"/>
                <w:lang w:val="es-MX"/>
              </w:rPr>
            </w:pPr>
            <w:r>
              <w:rPr>
                <w:sz w:val="20"/>
                <w:szCs w:val="20"/>
                <w:lang w:val="es-MX"/>
              </w:rPr>
              <w:t>35</w:t>
            </w:r>
          </w:p>
        </w:tc>
      </w:tr>
      <w:tr w:rsidR="00662B31" w:rsidRPr="003A1222" w:rsidTr="0058591F">
        <w:trPr>
          <w:trHeight w:val="505"/>
        </w:trPr>
        <w:tc>
          <w:tcPr>
            <w:tcW w:w="5324" w:type="dxa"/>
          </w:tcPr>
          <w:p w:rsidR="00662B31" w:rsidRDefault="00662B31" w:rsidP="0058591F">
            <w:pPr>
              <w:jc w:val="both"/>
              <w:rPr>
                <w:sz w:val="20"/>
                <w:szCs w:val="20"/>
                <w:lang w:val="es-MX"/>
              </w:rPr>
            </w:pPr>
            <w:r w:rsidRPr="003A1222">
              <w:rPr>
                <w:sz w:val="20"/>
                <w:szCs w:val="20"/>
                <w:lang w:val="es-MX"/>
              </w:rPr>
              <w:t>Cooperación  con  Organismos  Nacionales</w:t>
            </w:r>
          </w:p>
          <w:p w:rsidR="00662B31" w:rsidRPr="003A1222" w:rsidRDefault="00662B31" w:rsidP="0058591F">
            <w:pPr>
              <w:jc w:val="both"/>
              <w:rPr>
                <w:sz w:val="20"/>
                <w:szCs w:val="20"/>
                <w:lang w:val="es-MX"/>
              </w:rPr>
            </w:pPr>
          </w:p>
        </w:tc>
        <w:tc>
          <w:tcPr>
            <w:tcW w:w="3857" w:type="dxa"/>
          </w:tcPr>
          <w:p w:rsidR="00662B31" w:rsidRPr="003A1222" w:rsidRDefault="00FD74B8" w:rsidP="0058591F">
            <w:pPr>
              <w:jc w:val="both"/>
              <w:rPr>
                <w:sz w:val="20"/>
                <w:szCs w:val="20"/>
                <w:lang w:val="es-MX"/>
              </w:rPr>
            </w:pPr>
            <w:r>
              <w:rPr>
                <w:sz w:val="20"/>
                <w:szCs w:val="20"/>
                <w:lang w:val="es-MX"/>
              </w:rPr>
              <w:t>0</w:t>
            </w:r>
          </w:p>
        </w:tc>
      </w:tr>
      <w:tr w:rsidR="00662B31" w:rsidRPr="003A1222" w:rsidTr="0058591F">
        <w:trPr>
          <w:trHeight w:val="505"/>
        </w:trPr>
        <w:tc>
          <w:tcPr>
            <w:tcW w:w="5324" w:type="dxa"/>
          </w:tcPr>
          <w:p w:rsidR="00662B31" w:rsidRDefault="00662B31" w:rsidP="0058591F">
            <w:pPr>
              <w:jc w:val="both"/>
              <w:rPr>
                <w:sz w:val="20"/>
                <w:szCs w:val="20"/>
                <w:lang w:val="es-MX"/>
              </w:rPr>
            </w:pPr>
            <w:r w:rsidRPr="003A1222">
              <w:rPr>
                <w:sz w:val="20"/>
                <w:szCs w:val="20"/>
                <w:lang w:val="es-MX"/>
              </w:rPr>
              <w:t>Colaboración  con  otros Organismos</w:t>
            </w:r>
          </w:p>
          <w:p w:rsidR="00662B31" w:rsidRPr="003A1222" w:rsidRDefault="00662B31" w:rsidP="0058591F">
            <w:pPr>
              <w:jc w:val="both"/>
              <w:rPr>
                <w:sz w:val="20"/>
                <w:szCs w:val="20"/>
                <w:lang w:val="es-MX"/>
              </w:rPr>
            </w:pPr>
          </w:p>
        </w:tc>
        <w:tc>
          <w:tcPr>
            <w:tcW w:w="3857" w:type="dxa"/>
          </w:tcPr>
          <w:p w:rsidR="00662B31" w:rsidRPr="003A1222" w:rsidRDefault="00FD74B8" w:rsidP="0058591F">
            <w:pPr>
              <w:jc w:val="both"/>
              <w:rPr>
                <w:sz w:val="20"/>
                <w:szCs w:val="20"/>
                <w:lang w:val="es-MX"/>
              </w:rPr>
            </w:pPr>
            <w:r>
              <w:rPr>
                <w:sz w:val="20"/>
                <w:szCs w:val="20"/>
                <w:lang w:val="es-MX"/>
              </w:rPr>
              <w:t>35</w:t>
            </w:r>
          </w:p>
        </w:tc>
      </w:tr>
    </w:tbl>
    <w:p w:rsidR="00662B31" w:rsidRDefault="00662B31" w:rsidP="00662B31">
      <w:pPr>
        <w:spacing w:after="0" w:line="360" w:lineRule="auto"/>
        <w:jc w:val="both"/>
        <w:rPr>
          <w:sz w:val="24"/>
          <w:lang w:val="es-MX"/>
        </w:rPr>
      </w:pPr>
    </w:p>
    <w:p w:rsidR="00662B31" w:rsidRDefault="00662B31" w:rsidP="00662B31">
      <w:pPr>
        <w:spacing w:after="0" w:line="360" w:lineRule="auto"/>
        <w:jc w:val="both"/>
        <w:rPr>
          <w:sz w:val="24"/>
          <w:lang w:val="es-MX"/>
        </w:rPr>
      </w:pPr>
      <w:r>
        <w:rPr>
          <w:sz w:val="24"/>
          <w:lang w:val="es-MX"/>
        </w:rPr>
        <w:t>Normativa y Reclamos.-  Breve resumen</w:t>
      </w:r>
      <w:r w:rsidRPr="0052650A">
        <w:rPr>
          <w:sz w:val="24"/>
          <w:lang w:val="es-MX"/>
        </w:rPr>
        <w:t xml:space="preserve"> </w:t>
      </w:r>
      <w:r>
        <w:rPr>
          <w:sz w:val="24"/>
          <w:lang w:val="es-MX"/>
        </w:rPr>
        <w:t>de la Gestión realizada:</w:t>
      </w:r>
    </w:p>
    <w:p w:rsidR="00662B31" w:rsidRDefault="00662B31" w:rsidP="00662B31">
      <w:pPr>
        <w:spacing w:after="0" w:line="360" w:lineRule="auto"/>
        <w:jc w:val="both"/>
        <w:rPr>
          <w:sz w:val="24"/>
          <w:lang w:val="es-MX"/>
        </w:rPr>
      </w:pPr>
      <w:r>
        <w:rPr>
          <w:noProof/>
          <w:sz w:val="24"/>
          <w:lang w:eastAsia="es-EC"/>
        </w:rPr>
        <mc:AlternateContent>
          <mc:Choice Requires="wps">
            <w:drawing>
              <wp:anchor distT="0" distB="0" distL="114300" distR="114300" simplePos="0" relativeHeight="251661312" behindDoc="0" locked="0" layoutInCell="1" allowOverlap="1" wp14:anchorId="0A821E3F" wp14:editId="3CCF026C">
                <wp:simplePos x="0" y="0"/>
                <wp:positionH relativeFrom="column">
                  <wp:posOffset>-16879</wp:posOffset>
                </wp:positionH>
                <wp:positionV relativeFrom="paragraph">
                  <wp:posOffset>30510</wp:posOffset>
                </wp:positionV>
                <wp:extent cx="5865628" cy="2200939"/>
                <wp:effectExtent l="0" t="0" r="20955" b="27940"/>
                <wp:wrapNone/>
                <wp:docPr id="103" name="103 Cuadro de texto"/>
                <wp:cNvGraphicFramePr/>
                <a:graphic xmlns:a="http://schemas.openxmlformats.org/drawingml/2006/main">
                  <a:graphicData uri="http://schemas.microsoft.com/office/word/2010/wordprocessingShape">
                    <wps:wsp>
                      <wps:cNvSpPr txBox="1"/>
                      <wps:spPr>
                        <a:xfrm>
                          <a:off x="0" y="0"/>
                          <a:ext cx="5865628" cy="220093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62B31" w:rsidRPr="00662B31" w:rsidRDefault="00662B31" w:rsidP="00662B31">
                            <w:pPr>
                              <w:jc w:val="both"/>
                              <w:rPr>
                                <w:color w:val="000000" w:themeColor="text1"/>
                              </w:rPr>
                            </w:pPr>
                            <w:r w:rsidRPr="00662B31">
                              <w:rPr>
                                <w:color w:val="000000" w:themeColor="text1"/>
                              </w:rPr>
                              <w:t>En el transcurso del año 2022 la Unidad de Normativa y Reclamos de la Dirección Regional  de Seguros, de forma adicional a las actividades habituales de control y regulación que desempeña dentro del Sistema Nacional de Seguros Privados, ha continuado su trabajo de coordinación con las diferentes instituciones del sector público, entre ellas con la a Agencia de Aseguramiento de la Calidad de los Servicios de Salud y Medicina Prepagada (ACESS) en el desarrollo de los lineamientos sanitarios que deben contener los contratos de medicina prepagada, ha participado en el  desarrollado normativa de cumplimiento obligatorio para los integrantes del sistema, que incentivará a la educación del usuario, la interposición y sustanciación de reclamos, el sistema digital de obtención de credenciales y el manejo y difusión de la base de datos de seguros y salud prepagada, con el fin de que los usuarios obtengan las herramientas necesarias para hacer uso del sistema de forma correcta, automatizada y transparente.</w:t>
                            </w:r>
                          </w:p>
                          <w:p w:rsidR="00662B31" w:rsidRPr="00662B31" w:rsidRDefault="00662B31" w:rsidP="00662B3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03 Cuadro de texto" o:spid="_x0000_s1028" type="#_x0000_t202" style="position:absolute;left:0;text-align:left;margin-left:-1.35pt;margin-top:2.4pt;width:461.85pt;height:173.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" fillcolor="white [3201]" strokeweight=".5pt">
                <v:textbox>
                  <w:txbxContent>
                    <w:p w:rsidR="00662B31" w:rsidRPr="00662B31" w:rsidRDefault="00662B31" w:rsidP="00662B31">
                      <w:pPr>
                        <w:jc w:val="both"/>
                        <w:rPr>
                          <w:color w:val="000000" w:themeColor="text1"/>
                        </w:rPr>
                      </w:pPr>
                      <w:r w:rsidRPr="00662B31">
                        <w:rPr>
                          <w:color w:val="000000" w:themeColor="text1"/>
                        </w:rPr>
                        <w:t>En el transcurso del año 2022 la Unidad de Normativa y Reclamos de la Dirección Regional  de Seguros, de forma adicional a las actividades habituales de control y regulación que desempeña dentro del Sistema Nacional de Seguros Privados, ha continuado su trabajo de coordinación con las diferentes instituciones del sector público, entre ellas con la a Agencia de Aseguramiento de la Calidad de los Servicios de Salud y Medicina Prepagada (ACESS) en el desarrollo de los lineamientos sanitarios que deben contener los contratos de medicina prepagada, ha participado en el  desarrollado normativa de cumplimiento obligatorio para los integrantes del sistema, que incentivará a la educación del usuario, la interposición y sustanciación de reclamos, el sistema digital de obtención de credenciales y el manejo y difusión de la base de datos de seguros y salud prepagada, con el fin de que los usuarios obtengan las herramientas necesarias para hacer uso del sistema de forma correcta, automatizada y transparente.</w:t>
                      </w:r>
                    </w:p>
                    <w:p w:rsidR="00662B31" w:rsidRPr="00662B31" w:rsidRDefault="00662B31" w:rsidP="00662B31"/>
                  </w:txbxContent>
                </v:textbox>
              </v:shape>
            </w:pict>
          </mc:Fallback>
        </mc:AlternateContent>
      </w:r>
    </w:p>
    <w:p w:rsidR="00662B31" w:rsidRDefault="00662B31" w:rsidP="00662B31">
      <w:pPr>
        <w:spacing w:after="0" w:line="360" w:lineRule="auto"/>
        <w:jc w:val="both"/>
        <w:rPr>
          <w:sz w:val="24"/>
          <w:lang w:val="es-MX"/>
        </w:rPr>
      </w:pPr>
    </w:p>
    <w:p w:rsidR="00662B31" w:rsidRDefault="00662B31" w:rsidP="00662B31">
      <w:pPr>
        <w:spacing w:after="0" w:line="360" w:lineRule="auto"/>
        <w:jc w:val="both"/>
        <w:rPr>
          <w:sz w:val="24"/>
          <w:lang w:val="es-MX"/>
        </w:rPr>
      </w:pPr>
    </w:p>
    <w:p w:rsidR="00662B31" w:rsidRDefault="00662B31" w:rsidP="00662B31">
      <w:pPr>
        <w:spacing w:after="0" w:line="360" w:lineRule="auto"/>
        <w:jc w:val="both"/>
        <w:rPr>
          <w:sz w:val="24"/>
          <w:lang w:val="es-MX"/>
        </w:rPr>
      </w:pPr>
    </w:p>
    <w:p w:rsidR="00662B31" w:rsidRDefault="00662B31" w:rsidP="00662B31">
      <w:pPr>
        <w:spacing w:after="0" w:line="360" w:lineRule="auto"/>
        <w:jc w:val="both"/>
        <w:rPr>
          <w:sz w:val="24"/>
          <w:lang w:val="es-MX"/>
        </w:rPr>
      </w:pPr>
    </w:p>
    <w:p w:rsidR="00662B31" w:rsidRDefault="00662B31" w:rsidP="00662B31">
      <w:pPr>
        <w:spacing w:after="0" w:line="360" w:lineRule="auto"/>
        <w:jc w:val="both"/>
        <w:rPr>
          <w:sz w:val="24"/>
          <w:lang w:val="es-MX"/>
        </w:rPr>
      </w:pPr>
    </w:p>
    <w:p w:rsidR="00662B31" w:rsidRDefault="00662B31" w:rsidP="00662B31">
      <w:pPr>
        <w:spacing w:after="0" w:line="360" w:lineRule="auto"/>
        <w:jc w:val="both"/>
        <w:rPr>
          <w:sz w:val="24"/>
          <w:lang w:val="es-MX"/>
        </w:rPr>
      </w:pPr>
    </w:p>
    <w:p w:rsidR="00662B31" w:rsidRDefault="00662B31" w:rsidP="00662B31">
      <w:pPr>
        <w:spacing w:after="0" w:line="360" w:lineRule="auto"/>
        <w:jc w:val="both"/>
        <w:rPr>
          <w:sz w:val="24"/>
          <w:lang w:val="es-MX"/>
        </w:rPr>
      </w:pPr>
    </w:p>
    <w:p w:rsidR="00662B31" w:rsidRDefault="00662B31" w:rsidP="00662B31">
      <w:pPr>
        <w:spacing w:after="0" w:line="360" w:lineRule="auto"/>
        <w:jc w:val="both"/>
        <w:rPr>
          <w:sz w:val="24"/>
          <w:lang w:val="es-MX"/>
        </w:rPr>
      </w:pPr>
    </w:p>
    <w:p w:rsidR="00662B31" w:rsidRDefault="00662B31" w:rsidP="00662B31">
      <w:pPr>
        <w:spacing w:after="0" w:line="360" w:lineRule="auto"/>
        <w:jc w:val="both"/>
        <w:rPr>
          <w:b/>
          <w:i/>
          <w:sz w:val="24"/>
          <w:lang w:val="es-MX"/>
        </w:rPr>
      </w:pPr>
    </w:p>
    <w:p w:rsidR="00662B31" w:rsidRDefault="00662B31" w:rsidP="00662B31">
      <w:pPr>
        <w:spacing w:after="0" w:line="360" w:lineRule="auto"/>
        <w:jc w:val="both"/>
        <w:rPr>
          <w:sz w:val="24"/>
          <w:lang w:val="es-MX"/>
        </w:rPr>
      </w:pPr>
      <w:r>
        <w:rPr>
          <w:b/>
          <w:i/>
          <w:sz w:val="24"/>
          <w:lang w:val="es-MX"/>
        </w:rPr>
        <w:t xml:space="preserve">Tabla 84.- </w:t>
      </w:r>
      <w:r>
        <w:rPr>
          <w:sz w:val="24"/>
          <w:lang w:val="es-MX"/>
        </w:rPr>
        <w:t>Registre</w:t>
      </w:r>
      <w:r w:rsidRPr="0052650A">
        <w:rPr>
          <w:sz w:val="24"/>
          <w:lang w:val="es-MX"/>
        </w:rPr>
        <w:t xml:space="preserve"> el </w:t>
      </w:r>
      <w:r>
        <w:rPr>
          <w:sz w:val="24"/>
          <w:lang w:val="es-MX"/>
        </w:rPr>
        <w:t>Número de actividades ejecutadas en  el periodo concluido:</w:t>
      </w:r>
    </w:p>
    <w:tbl>
      <w:tblPr>
        <w:tblStyle w:val="Tablaconcuadrcula"/>
        <w:tblW w:w="6715" w:type="dxa"/>
        <w:tblInd w:w="392" w:type="dxa"/>
        <w:tblLook w:val="04A0" w:firstRow="1" w:lastRow="0" w:firstColumn="1" w:lastColumn="0" w:noHBand="0" w:noVBand="1"/>
      </w:tblPr>
      <w:tblGrid>
        <w:gridCol w:w="5714"/>
        <w:gridCol w:w="1001"/>
      </w:tblGrid>
      <w:tr w:rsidR="00662B31" w:rsidRPr="008933FF" w:rsidTr="00662B31">
        <w:trPr>
          <w:trHeight w:val="505"/>
        </w:trPr>
        <w:tc>
          <w:tcPr>
            <w:tcW w:w="5714" w:type="dxa"/>
            <w:vAlign w:val="center"/>
          </w:tcPr>
          <w:p w:rsidR="00662B31" w:rsidRPr="008933FF" w:rsidRDefault="00662B31" w:rsidP="0058591F">
            <w:pPr>
              <w:pStyle w:val="Prrafodelista"/>
              <w:ind w:left="0"/>
              <w:jc w:val="center"/>
              <w:rPr>
                <w:rFonts w:cstheme="minorHAnsi"/>
                <w:b/>
                <w:sz w:val="20"/>
                <w:szCs w:val="20"/>
                <w:lang w:val="es-MX"/>
              </w:rPr>
            </w:pPr>
            <w:r w:rsidRPr="008933FF">
              <w:rPr>
                <w:rFonts w:cstheme="minorHAnsi"/>
                <w:b/>
                <w:sz w:val="20"/>
                <w:szCs w:val="20"/>
                <w:lang w:val="es-MX"/>
              </w:rPr>
              <w:t>DESCRIPCIÓN</w:t>
            </w:r>
          </w:p>
        </w:tc>
        <w:tc>
          <w:tcPr>
            <w:tcW w:w="1001" w:type="dxa"/>
            <w:vAlign w:val="center"/>
          </w:tcPr>
          <w:p w:rsidR="00662B31" w:rsidRDefault="00662B31" w:rsidP="0058591F">
            <w:pPr>
              <w:pStyle w:val="Prrafodelista"/>
              <w:ind w:left="0"/>
              <w:jc w:val="center"/>
              <w:rPr>
                <w:rFonts w:cstheme="minorHAnsi"/>
                <w:b/>
                <w:sz w:val="20"/>
                <w:szCs w:val="20"/>
                <w:lang w:val="es-MX"/>
              </w:rPr>
            </w:pPr>
            <w:r w:rsidRPr="008933FF">
              <w:rPr>
                <w:rFonts w:cstheme="minorHAnsi"/>
                <w:b/>
                <w:sz w:val="20"/>
                <w:szCs w:val="20"/>
                <w:lang w:val="es-MX"/>
              </w:rPr>
              <w:t>NÚMERO</w:t>
            </w:r>
          </w:p>
          <w:p w:rsidR="00662B31" w:rsidRPr="008933FF" w:rsidRDefault="00662B31" w:rsidP="0058591F">
            <w:pPr>
              <w:pStyle w:val="Prrafodelista"/>
              <w:ind w:left="0"/>
              <w:jc w:val="center"/>
              <w:rPr>
                <w:rFonts w:cstheme="minorHAnsi"/>
                <w:b/>
                <w:sz w:val="20"/>
                <w:szCs w:val="20"/>
                <w:lang w:val="es-MX"/>
              </w:rPr>
            </w:pPr>
            <w:r>
              <w:rPr>
                <w:rFonts w:cstheme="minorHAnsi"/>
                <w:b/>
                <w:sz w:val="20"/>
                <w:szCs w:val="20"/>
                <w:lang w:val="es-MX"/>
              </w:rPr>
              <w:t>UIO</w:t>
            </w:r>
          </w:p>
        </w:tc>
      </w:tr>
      <w:tr w:rsidR="00662B31" w:rsidRPr="008933FF" w:rsidTr="00662B31">
        <w:trPr>
          <w:trHeight w:val="270"/>
        </w:trPr>
        <w:tc>
          <w:tcPr>
            <w:tcW w:w="5714" w:type="dxa"/>
            <w:vAlign w:val="center"/>
          </w:tcPr>
          <w:p w:rsidR="00662B31" w:rsidRPr="00662B31" w:rsidRDefault="00662B31" w:rsidP="0058591F">
            <w:pPr>
              <w:pStyle w:val="Prrafodelista"/>
              <w:ind w:left="0"/>
              <w:jc w:val="center"/>
              <w:rPr>
                <w:rFonts w:cstheme="minorHAnsi"/>
                <w:color w:val="000000" w:themeColor="text1"/>
                <w:sz w:val="20"/>
                <w:szCs w:val="20"/>
                <w:lang w:val="es-MX"/>
              </w:rPr>
            </w:pPr>
            <w:r w:rsidRPr="00662B31">
              <w:rPr>
                <w:rFonts w:cstheme="minorHAnsi"/>
                <w:color w:val="000000" w:themeColor="text1"/>
                <w:sz w:val="20"/>
                <w:szCs w:val="20"/>
              </w:rPr>
              <w:t>Atender reclamos administrativos.</w:t>
            </w:r>
          </w:p>
        </w:tc>
        <w:tc>
          <w:tcPr>
            <w:tcW w:w="1001" w:type="dxa"/>
            <w:vAlign w:val="center"/>
          </w:tcPr>
          <w:p w:rsidR="00662B31" w:rsidRPr="00662B31" w:rsidRDefault="00662B31" w:rsidP="0058591F">
            <w:pPr>
              <w:pStyle w:val="Prrafodelista"/>
              <w:ind w:left="0"/>
              <w:jc w:val="center"/>
              <w:rPr>
                <w:rFonts w:cstheme="minorHAnsi"/>
                <w:color w:val="000000" w:themeColor="text1"/>
                <w:sz w:val="20"/>
                <w:szCs w:val="20"/>
                <w:lang w:val="es-MX"/>
              </w:rPr>
            </w:pPr>
            <w:r w:rsidRPr="00662B31">
              <w:rPr>
                <w:rFonts w:cstheme="minorHAnsi"/>
                <w:color w:val="000000" w:themeColor="text1"/>
                <w:sz w:val="20"/>
                <w:szCs w:val="20"/>
                <w:lang w:val="es-MX"/>
              </w:rPr>
              <w:t>444</w:t>
            </w:r>
          </w:p>
        </w:tc>
      </w:tr>
      <w:tr w:rsidR="00662B31" w:rsidRPr="008933FF" w:rsidTr="00662B31">
        <w:trPr>
          <w:trHeight w:val="252"/>
        </w:trPr>
        <w:tc>
          <w:tcPr>
            <w:tcW w:w="5714" w:type="dxa"/>
            <w:vAlign w:val="center"/>
          </w:tcPr>
          <w:p w:rsidR="00662B31" w:rsidRPr="00662B31" w:rsidRDefault="00662B31" w:rsidP="0058591F">
            <w:pPr>
              <w:pStyle w:val="Prrafodelista"/>
              <w:ind w:left="0"/>
              <w:jc w:val="center"/>
              <w:rPr>
                <w:rFonts w:cstheme="minorHAnsi"/>
                <w:color w:val="000000" w:themeColor="text1"/>
                <w:sz w:val="20"/>
                <w:szCs w:val="20"/>
                <w:lang w:val="es-MX"/>
              </w:rPr>
            </w:pPr>
            <w:r w:rsidRPr="00662B31">
              <w:rPr>
                <w:rFonts w:cstheme="minorHAnsi"/>
                <w:color w:val="000000" w:themeColor="text1"/>
                <w:sz w:val="20"/>
                <w:szCs w:val="20"/>
              </w:rPr>
              <w:t>Atender denuncias.</w:t>
            </w:r>
          </w:p>
        </w:tc>
        <w:tc>
          <w:tcPr>
            <w:tcW w:w="1001" w:type="dxa"/>
            <w:vAlign w:val="center"/>
          </w:tcPr>
          <w:p w:rsidR="00662B31" w:rsidRPr="00662B31" w:rsidRDefault="00662B31" w:rsidP="0058591F">
            <w:pPr>
              <w:pStyle w:val="Prrafodelista"/>
              <w:ind w:left="0"/>
              <w:jc w:val="center"/>
              <w:rPr>
                <w:rFonts w:cstheme="minorHAnsi"/>
                <w:color w:val="000000" w:themeColor="text1"/>
                <w:sz w:val="20"/>
                <w:szCs w:val="20"/>
                <w:lang w:val="es-MX"/>
              </w:rPr>
            </w:pPr>
            <w:r w:rsidRPr="00662B31">
              <w:rPr>
                <w:rFonts w:cstheme="minorHAnsi"/>
                <w:color w:val="000000" w:themeColor="text1"/>
                <w:sz w:val="20"/>
                <w:szCs w:val="20"/>
                <w:lang w:val="es-MX"/>
              </w:rPr>
              <w:t>0</w:t>
            </w:r>
          </w:p>
        </w:tc>
      </w:tr>
      <w:tr w:rsidR="00662B31" w:rsidRPr="008933FF" w:rsidTr="00662B31">
        <w:trPr>
          <w:trHeight w:val="775"/>
        </w:trPr>
        <w:tc>
          <w:tcPr>
            <w:tcW w:w="5714" w:type="dxa"/>
            <w:vAlign w:val="center"/>
          </w:tcPr>
          <w:p w:rsidR="00662B31" w:rsidRPr="00662B31" w:rsidRDefault="00662B31" w:rsidP="0058591F">
            <w:pPr>
              <w:pStyle w:val="Prrafodelista"/>
              <w:ind w:left="0"/>
              <w:jc w:val="center"/>
              <w:rPr>
                <w:rFonts w:cstheme="minorHAnsi"/>
                <w:color w:val="000000" w:themeColor="text1"/>
                <w:sz w:val="20"/>
                <w:szCs w:val="20"/>
              </w:rPr>
            </w:pPr>
            <w:r w:rsidRPr="00662B31">
              <w:rPr>
                <w:rFonts w:cstheme="minorHAnsi"/>
                <w:color w:val="000000" w:themeColor="text1"/>
                <w:sz w:val="20"/>
                <w:szCs w:val="20"/>
              </w:rPr>
              <w:t>Calificar asesores productores de seguros, intermediarios de reaseguros y peritos de seguros, emitir, cancelar o revalidar credenciales.</w:t>
            </w:r>
          </w:p>
        </w:tc>
        <w:tc>
          <w:tcPr>
            <w:tcW w:w="1001" w:type="dxa"/>
            <w:vAlign w:val="center"/>
          </w:tcPr>
          <w:p w:rsidR="00662B31" w:rsidRPr="00662B31" w:rsidRDefault="00662B31" w:rsidP="0058591F">
            <w:pPr>
              <w:pStyle w:val="Prrafodelista"/>
              <w:ind w:left="0"/>
              <w:jc w:val="center"/>
              <w:rPr>
                <w:rFonts w:cstheme="minorHAnsi"/>
                <w:color w:val="000000" w:themeColor="text1"/>
                <w:sz w:val="20"/>
                <w:szCs w:val="20"/>
                <w:lang w:val="es-MX"/>
              </w:rPr>
            </w:pPr>
            <w:r w:rsidRPr="00662B31">
              <w:rPr>
                <w:rFonts w:cstheme="minorHAnsi"/>
                <w:color w:val="000000" w:themeColor="text1"/>
                <w:sz w:val="20"/>
                <w:szCs w:val="20"/>
                <w:lang w:val="es-MX"/>
              </w:rPr>
              <w:t>421</w:t>
            </w:r>
          </w:p>
        </w:tc>
      </w:tr>
      <w:tr w:rsidR="00662B31" w:rsidRPr="008933FF" w:rsidTr="00662B31">
        <w:trPr>
          <w:trHeight w:val="775"/>
        </w:trPr>
        <w:tc>
          <w:tcPr>
            <w:tcW w:w="5714" w:type="dxa"/>
            <w:vAlign w:val="center"/>
          </w:tcPr>
          <w:p w:rsidR="00662B31" w:rsidRPr="00662B31" w:rsidRDefault="00662B31" w:rsidP="0058591F">
            <w:pPr>
              <w:pStyle w:val="Prrafodelista"/>
              <w:ind w:left="0"/>
              <w:jc w:val="center"/>
              <w:rPr>
                <w:rFonts w:cstheme="minorHAnsi"/>
                <w:color w:val="000000" w:themeColor="text1"/>
                <w:sz w:val="20"/>
                <w:szCs w:val="20"/>
                <w:lang w:val="es-MX"/>
              </w:rPr>
            </w:pPr>
            <w:r w:rsidRPr="00662B31">
              <w:rPr>
                <w:rFonts w:cstheme="minorHAnsi"/>
                <w:color w:val="000000" w:themeColor="text1"/>
                <w:sz w:val="20"/>
                <w:szCs w:val="20"/>
              </w:rPr>
              <w:t>Calificar a auditores internos, auditores externos, calificadoras de riesgos, actuarios, representantes legales, miembros del directorio, miembros de comités, cesionarios.</w:t>
            </w:r>
          </w:p>
        </w:tc>
        <w:tc>
          <w:tcPr>
            <w:tcW w:w="1001" w:type="dxa"/>
            <w:vAlign w:val="center"/>
          </w:tcPr>
          <w:p w:rsidR="00662B31" w:rsidRPr="00662B31" w:rsidRDefault="00662B31" w:rsidP="0058591F">
            <w:pPr>
              <w:pStyle w:val="Prrafodelista"/>
              <w:ind w:left="0"/>
              <w:jc w:val="center"/>
              <w:rPr>
                <w:rFonts w:cstheme="minorHAnsi"/>
                <w:color w:val="000000" w:themeColor="text1"/>
                <w:sz w:val="20"/>
                <w:szCs w:val="20"/>
                <w:lang w:val="es-MX"/>
              </w:rPr>
            </w:pPr>
            <w:r w:rsidRPr="00662B31">
              <w:rPr>
                <w:rFonts w:cstheme="minorHAnsi"/>
                <w:color w:val="000000" w:themeColor="text1"/>
                <w:sz w:val="20"/>
                <w:szCs w:val="20"/>
                <w:lang w:val="es-MX"/>
              </w:rPr>
              <w:t>132</w:t>
            </w:r>
          </w:p>
        </w:tc>
      </w:tr>
      <w:tr w:rsidR="00662B31" w:rsidRPr="008933FF" w:rsidTr="00662B31">
        <w:trPr>
          <w:trHeight w:val="270"/>
        </w:trPr>
        <w:tc>
          <w:tcPr>
            <w:tcW w:w="5714" w:type="dxa"/>
            <w:vAlign w:val="center"/>
          </w:tcPr>
          <w:p w:rsidR="00662B31" w:rsidRPr="00662B31" w:rsidRDefault="00662B31" w:rsidP="0058591F">
            <w:pPr>
              <w:pStyle w:val="Prrafodelista"/>
              <w:ind w:left="0"/>
              <w:jc w:val="center"/>
              <w:rPr>
                <w:rFonts w:cstheme="minorHAnsi"/>
                <w:color w:val="000000" w:themeColor="text1"/>
                <w:sz w:val="20"/>
                <w:szCs w:val="20"/>
                <w:lang w:val="es-MX"/>
              </w:rPr>
            </w:pPr>
            <w:r w:rsidRPr="00662B31">
              <w:rPr>
                <w:rFonts w:cstheme="minorHAnsi"/>
                <w:color w:val="000000" w:themeColor="text1"/>
                <w:sz w:val="20"/>
                <w:szCs w:val="20"/>
                <w:lang w:val="es-MX"/>
              </w:rPr>
              <w:t>Aprobar actos societarios de compañías de seguros y reaseguros</w:t>
            </w:r>
          </w:p>
        </w:tc>
        <w:tc>
          <w:tcPr>
            <w:tcW w:w="1001" w:type="dxa"/>
            <w:vAlign w:val="center"/>
          </w:tcPr>
          <w:p w:rsidR="00662B31" w:rsidRPr="00662B31" w:rsidRDefault="00662B31" w:rsidP="0058591F">
            <w:pPr>
              <w:pStyle w:val="Prrafodelista"/>
              <w:ind w:left="0"/>
              <w:jc w:val="center"/>
              <w:rPr>
                <w:rFonts w:cstheme="minorHAnsi"/>
                <w:color w:val="000000" w:themeColor="text1"/>
                <w:sz w:val="20"/>
                <w:szCs w:val="20"/>
                <w:lang w:val="es-MX"/>
              </w:rPr>
            </w:pPr>
            <w:r w:rsidRPr="00662B31">
              <w:rPr>
                <w:rFonts w:cstheme="minorHAnsi"/>
                <w:color w:val="000000" w:themeColor="text1"/>
                <w:sz w:val="20"/>
                <w:szCs w:val="20"/>
                <w:lang w:val="es-MX"/>
              </w:rPr>
              <w:t>4</w:t>
            </w:r>
          </w:p>
        </w:tc>
      </w:tr>
      <w:tr w:rsidR="00662B31" w:rsidRPr="008933FF" w:rsidTr="00662B31">
        <w:trPr>
          <w:trHeight w:val="252"/>
        </w:trPr>
        <w:tc>
          <w:tcPr>
            <w:tcW w:w="5714" w:type="dxa"/>
            <w:vAlign w:val="center"/>
          </w:tcPr>
          <w:p w:rsidR="00662B31" w:rsidRPr="00662B31" w:rsidRDefault="00662B31" w:rsidP="0058591F">
            <w:pPr>
              <w:pStyle w:val="Prrafodelista"/>
              <w:ind w:left="0"/>
              <w:jc w:val="center"/>
              <w:rPr>
                <w:rFonts w:cstheme="minorHAnsi"/>
                <w:color w:val="000000" w:themeColor="text1"/>
                <w:sz w:val="20"/>
                <w:szCs w:val="20"/>
                <w:lang w:val="es-MX"/>
              </w:rPr>
            </w:pPr>
            <w:r w:rsidRPr="00662B31">
              <w:rPr>
                <w:rFonts w:cstheme="minorHAnsi"/>
                <w:color w:val="000000" w:themeColor="text1"/>
                <w:sz w:val="20"/>
                <w:szCs w:val="20"/>
              </w:rPr>
              <w:lastRenderedPageBreak/>
              <w:t>Emitir normativa</w:t>
            </w:r>
          </w:p>
        </w:tc>
        <w:tc>
          <w:tcPr>
            <w:tcW w:w="1001" w:type="dxa"/>
            <w:vAlign w:val="center"/>
          </w:tcPr>
          <w:p w:rsidR="00662B31" w:rsidRPr="00662B31" w:rsidRDefault="00662B31" w:rsidP="0058591F">
            <w:pPr>
              <w:pStyle w:val="Prrafodelista"/>
              <w:ind w:left="0"/>
              <w:jc w:val="center"/>
              <w:rPr>
                <w:rFonts w:cstheme="minorHAnsi"/>
                <w:color w:val="000000" w:themeColor="text1"/>
                <w:sz w:val="20"/>
                <w:szCs w:val="20"/>
                <w:lang w:val="es-MX"/>
              </w:rPr>
            </w:pPr>
            <w:r w:rsidRPr="00662B31">
              <w:rPr>
                <w:rFonts w:cstheme="minorHAnsi"/>
                <w:color w:val="000000" w:themeColor="text1"/>
                <w:sz w:val="20"/>
                <w:szCs w:val="20"/>
                <w:lang w:val="es-MX"/>
              </w:rPr>
              <w:t>0</w:t>
            </w:r>
          </w:p>
        </w:tc>
      </w:tr>
      <w:tr w:rsidR="00662B31" w:rsidRPr="008933FF" w:rsidTr="00662B31">
        <w:trPr>
          <w:trHeight w:val="75"/>
        </w:trPr>
        <w:tc>
          <w:tcPr>
            <w:tcW w:w="5714" w:type="dxa"/>
            <w:vAlign w:val="center"/>
          </w:tcPr>
          <w:p w:rsidR="00662B31" w:rsidRPr="00662B31" w:rsidRDefault="00662B31" w:rsidP="0058591F">
            <w:pPr>
              <w:pStyle w:val="Prrafodelista"/>
              <w:ind w:left="0"/>
              <w:jc w:val="center"/>
              <w:rPr>
                <w:rFonts w:cstheme="minorHAnsi"/>
                <w:color w:val="000000" w:themeColor="text1"/>
                <w:sz w:val="20"/>
                <w:szCs w:val="20"/>
              </w:rPr>
            </w:pPr>
            <w:r w:rsidRPr="00662B31">
              <w:rPr>
                <w:rFonts w:cstheme="minorHAnsi"/>
                <w:color w:val="000000" w:themeColor="text1"/>
                <w:sz w:val="20"/>
                <w:szCs w:val="20"/>
              </w:rPr>
              <w:t>Atender requerimientos de información del sistema de seguros privado y usuarios internos.</w:t>
            </w:r>
          </w:p>
        </w:tc>
        <w:tc>
          <w:tcPr>
            <w:tcW w:w="1001" w:type="dxa"/>
            <w:vAlign w:val="center"/>
          </w:tcPr>
          <w:p w:rsidR="00662B31" w:rsidRPr="00662B31" w:rsidRDefault="00662B31" w:rsidP="0058591F">
            <w:pPr>
              <w:pStyle w:val="Prrafodelista"/>
              <w:ind w:left="0"/>
              <w:jc w:val="center"/>
              <w:rPr>
                <w:rFonts w:cstheme="minorHAnsi"/>
                <w:color w:val="000000" w:themeColor="text1"/>
                <w:sz w:val="20"/>
                <w:szCs w:val="20"/>
              </w:rPr>
            </w:pPr>
            <w:r w:rsidRPr="00662B31">
              <w:rPr>
                <w:rFonts w:cstheme="minorHAnsi"/>
                <w:color w:val="000000" w:themeColor="text1"/>
                <w:sz w:val="20"/>
                <w:szCs w:val="20"/>
              </w:rPr>
              <w:t>540</w:t>
            </w:r>
          </w:p>
        </w:tc>
      </w:tr>
    </w:tbl>
    <w:p w:rsidR="00662B31" w:rsidRDefault="00662B31" w:rsidP="00662B31">
      <w:pPr>
        <w:spacing w:after="0" w:line="360" w:lineRule="auto"/>
        <w:jc w:val="both"/>
        <w:rPr>
          <w:sz w:val="24"/>
          <w:lang w:val="es-MX"/>
        </w:rPr>
      </w:pPr>
    </w:p>
    <w:p w:rsidR="00662B31" w:rsidRDefault="00662B31" w:rsidP="00662B31">
      <w:pPr>
        <w:spacing w:after="0" w:line="360" w:lineRule="auto"/>
        <w:jc w:val="both"/>
        <w:rPr>
          <w:sz w:val="24"/>
          <w:lang w:val="es-MX"/>
        </w:rPr>
      </w:pPr>
      <w:r>
        <w:rPr>
          <w:b/>
          <w:i/>
          <w:sz w:val="24"/>
          <w:lang w:val="es-MX"/>
        </w:rPr>
        <w:t xml:space="preserve">Completar  tabla 37.- </w:t>
      </w:r>
      <w:r>
        <w:rPr>
          <w:b/>
          <w:sz w:val="24"/>
          <w:lang w:val="es-MX"/>
        </w:rPr>
        <w:t xml:space="preserve"> </w:t>
      </w:r>
      <w:r w:rsidRPr="008933FF">
        <w:rPr>
          <w:sz w:val="24"/>
          <w:lang w:val="es-MX"/>
        </w:rPr>
        <w:t>Proyectos manejados:</w:t>
      </w:r>
    </w:p>
    <w:tbl>
      <w:tblPr>
        <w:tblpPr w:leftFromText="141" w:rightFromText="141" w:vertAnchor="text" w:horzAnchor="page" w:tblpX="2076" w:tblpY="274"/>
        <w:tblW w:w="9142" w:type="dxa"/>
        <w:tblCellMar>
          <w:left w:w="70" w:type="dxa"/>
          <w:right w:w="70" w:type="dxa"/>
        </w:tblCellMar>
        <w:tblLook w:val="04A0" w:firstRow="1" w:lastRow="0" w:firstColumn="1" w:lastColumn="0" w:noHBand="0" w:noVBand="1"/>
      </w:tblPr>
      <w:tblGrid>
        <w:gridCol w:w="4225"/>
        <w:gridCol w:w="4917"/>
      </w:tblGrid>
      <w:tr w:rsidR="00662B31" w:rsidRPr="00B60E4D" w:rsidTr="0058591F">
        <w:trPr>
          <w:trHeight w:val="297"/>
        </w:trPr>
        <w:tc>
          <w:tcPr>
            <w:tcW w:w="4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B31" w:rsidRPr="00662B31" w:rsidRDefault="00662B31" w:rsidP="0058591F">
            <w:pPr>
              <w:spacing w:line="240" w:lineRule="auto"/>
              <w:jc w:val="center"/>
              <w:rPr>
                <w:b/>
                <w:bCs/>
                <w:iCs/>
                <w:color w:val="000000" w:themeColor="text1"/>
                <w:sz w:val="20"/>
                <w:szCs w:val="20"/>
                <w:lang w:eastAsia="es-EC"/>
              </w:rPr>
            </w:pPr>
          </w:p>
          <w:p w:rsidR="00662B31" w:rsidRPr="00662B31" w:rsidRDefault="00662B31" w:rsidP="0058591F">
            <w:pPr>
              <w:spacing w:line="240" w:lineRule="auto"/>
              <w:jc w:val="center"/>
              <w:rPr>
                <w:b/>
                <w:bCs/>
                <w:iCs/>
                <w:color w:val="000000" w:themeColor="text1"/>
                <w:sz w:val="20"/>
                <w:szCs w:val="20"/>
                <w:lang w:eastAsia="es-EC"/>
              </w:rPr>
            </w:pPr>
            <w:r w:rsidRPr="00662B31">
              <w:rPr>
                <w:b/>
                <w:bCs/>
                <w:iCs/>
                <w:color w:val="000000" w:themeColor="text1"/>
                <w:sz w:val="20"/>
                <w:szCs w:val="20"/>
                <w:lang w:eastAsia="es-EC"/>
              </w:rPr>
              <w:t>Proyecto</w:t>
            </w:r>
          </w:p>
        </w:tc>
        <w:tc>
          <w:tcPr>
            <w:tcW w:w="4917" w:type="dxa"/>
            <w:tcBorders>
              <w:top w:val="single" w:sz="4" w:space="0" w:color="auto"/>
              <w:left w:val="nil"/>
              <w:bottom w:val="single" w:sz="4" w:space="0" w:color="auto"/>
              <w:right w:val="single" w:sz="4" w:space="0" w:color="auto"/>
            </w:tcBorders>
            <w:shd w:val="clear" w:color="auto" w:fill="auto"/>
            <w:vAlign w:val="center"/>
            <w:hideMark/>
          </w:tcPr>
          <w:p w:rsidR="00662B31" w:rsidRPr="00662B31" w:rsidRDefault="00662B31" w:rsidP="0058591F">
            <w:pPr>
              <w:spacing w:line="240" w:lineRule="auto"/>
              <w:jc w:val="center"/>
              <w:rPr>
                <w:b/>
                <w:bCs/>
                <w:iCs/>
                <w:color w:val="000000" w:themeColor="text1"/>
                <w:sz w:val="20"/>
                <w:szCs w:val="20"/>
                <w:lang w:eastAsia="es-EC"/>
              </w:rPr>
            </w:pPr>
          </w:p>
          <w:p w:rsidR="00662B31" w:rsidRPr="00662B31" w:rsidRDefault="00662B31" w:rsidP="0058591F">
            <w:pPr>
              <w:spacing w:line="240" w:lineRule="auto"/>
              <w:jc w:val="center"/>
              <w:rPr>
                <w:b/>
                <w:bCs/>
                <w:iCs/>
                <w:color w:val="000000" w:themeColor="text1"/>
                <w:sz w:val="20"/>
                <w:szCs w:val="20"/>
                <w:lang w:eastAsia="es-EC"/>
              </w:rPr>
            </w:pPr>
            <w:r w:rsidRPr="00662B31">
              <w:rPr>
                <w:b/>
                <w:bCs/>
                <w:iCs/>
                <w:color w:val="000000" w:themeColor="text1"/>
                <w:sz w:val="20"/>
                <w:szCs w:val="20"/>
                <w:lang w:eastAsia="es-EC"/>
              </w:rPr>
              <w:t>Objetivo</w:t>
            </w:r>
          </w:p>
        </w:tc>
      </w:tr>
      <w:tr w:rsidR="00662B31" w:rsidRPr="00B60E4D" w:rsidTr="0058591F">
        <w:trPr>
          <w:trHeight w:val="1270"/>
        </w:trPr>
        <w:tc>
          <w:tcPr>
            <w:tcW w:w="4225" w:type="dxa"/>
            <w:tcBorders>
              <w:top w:val="nil"/>
              <w:left w:val="single" w:sz="4" w:space="0" w:color="auto"/>
              <w:bottom w:val="single" w:sz="4" w:space="0" w:color="auto"/>
              <w:right w:val="single" w:sz="4" w:space="0" w:color="auto"/>
            </w:tcBorders>
            <w:shd w:val="clear" w:color="auto" w:fill="auto"/>
            <w:vAlign w:val="center"/>
            <w:hideMark/>
          </w:tcPr>
          <w:p w:rsidR="00662B31" w:rsidRPr="00662B31" w:rsidRDefault="00662B31" w:rsidP="0058591F">
            <w:pPr>
              <w:spacing w:line="240" w:lineRule="auto"/>
              <w:jc w:val="both"/>
              <w:rPr>
                <w:bCs/>
                <w:color w:val="000000" w:themeColor="text1"/>
                <w:sz w:val="20"/>
                <w:szCs w:val="20"/>
                <w:lang w:eastAsia="es-EC"/>
              </w:rPr>
            </w:pPr>
            <w:r w:rsidRPr="00662B31">
              <w:rPr>
                <w:bCs/>
                <w:color w:val="000000" w:themeColor="text1"/>
                <w:sz w:val="20"/>
                <w:szCs w:val="20"/>
                <w:lang w:eastAsia="es-EC"/>
              </w:rPr>
              <w:t>Automatización del registro de calificaciones de idoneidad dentro de compañías de seguros y reaseguros, con alimentación a un BD:</w:t>
            </w:r>
          </w:p>
        </w:tc>
        <w:tc>
          <w:tcPr>
            <w:tcW w:w="4917" w:type="dxa"/>
            <w:tcBorders>
              <w:top w:val="nil"/>
              <w:left w:val="nil"/>
              <w:bottom w:val="single" w:sz="4" w:space="0" w:color="auto"/>
              <w:right w:val="single" w:sz="4" w:space="0" w:color="auto"/>
            </w:tcBorders>
            <w:shd w:val="clear" w:color="auto" w:fill="auto"/>
            <w:vAlign w:val="center"/>
            <w:hideMark/>
          </w:tcPr>
          <w:p w:rsidR="00662B31" w:rsidRPr="00662B31" w:rsidRDefault="00662B31" w:rsidP="0058591F">
            <w:pPr>
              <w:spacing w:line="240" w:lineRule="auto"/>
              <w:jc w:val="both"/>
              <w:rPr>
                <w:color w:val="000000" w:themeColor="text1"/>
                <w:sz w:val="20"/>
                <w:szCs w:val="20"/>
                <w:lang w:eastAsia="es-EC"/>
              </w:rPr>
            </w:pPr>
            <w:r w:rsidRPr="00662B31">
              <w:rPr>
                <w:color w:val="000000" w:themeColor="text1"/>
                <w:sz w:val="20"/>
                <w:szCs w:val="20"/>
                <w:lang w:eastAsia="es-EC"/>
              </w:rPr>
              <w:t xml:space="preserve">Que las compañías de seguros y reaseguros puedan solicitar de forma periódica y automatizada la calificación, cambio o remoción de las personas que ocupan cargos de decisión dentro de las compañías, logrando una base de datos informativa actualizada. </w:t>
            </w:r>
          </w:p>
        </w:tc>
      </w:tr>
      <w:tr w:rsidR="00662B31" w:rsidRPr="00B60E4D" w:rsidTr="0058591F">
        <w:trPr>
          <w:trHeight w:val="976"/>
        </w:trPr>
        <w:tc>
          <w:tcPr>
            <w:tcW w:w="4225" w:type="dxa"/>
            <w:tcBorders>
              <w:top w:val="single" w:sz="4" w:space="0" w:color="auto"/>
              <w:left w:val="single" w:sz="4" w:space="0" w:color="auto"/>
              <w:bottom w:val="single" w:sz="4" w:space="0" w:color="auto"/>
              <w:right w:val="single" w:sz="4" w:space="0" w:color="auto"/>
            </w:tcBorders>
            <w:shd w:val="clear" w:color="auto" w:fill="auto"/>
            <w:vAlign w:val="center"/>
          </w:tcPr>
          <w:p w:rsidR="00662B31" w:rsidRPr="00662B31" w:rsidRDefault="00662B31" w:rsidP="0058591F">
            <w:pPr>
              <w:spacing w:line="240" w:lineRule="auto"/>
              <w:jc w:val="both"/>
              <w:rPr>
                <w:bCs/>
                <w:color w:val="000000" w:themeColor="text1"/>
                <w:sz w:val="20"/>
                <w:szCs w:val="20"/>
                <w:lang w:eastAsia="es-EC"/>
              </w:rPr>
            </w:pPr>
            <w:r w:rsidRPr="00662B31">
              <w:rPr>
                <w:bCs/>
                <w:color w:val="000000" w:themeColor="text1"/>
                <w:sz w:val="20"/>
                <w:szCs w:val="20"/>
                <w:lang w:eastAsia="es-EC"/>
              </w:rPr>
              <w:t>Mejoras al proceso de calificación de intermediarios de seguros (Asesores Productores, Intermediarios de Reaseguros y Peritos).</w:t>
            </w:r>
          </w:p>
          <w:p w:rsidR="00662B31" w:rsidRPr="00662B31" w:rsidRDefault="00662B31" w:rsidP="0058591F">
            <w:pPr>
              <w:spacing w:line="240" w:lineRule="auto"/>
              <w:jc w:val="both"/>
              <w:rPr>
                <w:bCs/>
                <w:color w:val="000000" w:themeColor="text1"/>
                <w:sz w:val="20"/>
                <w:szCs w:val="20"/>
                <w:lang w:eastAsia="es-EC"/>
              </w:rPr>
            </w:pPr>
          </w:p>
        </w:tc>
        <w:tc>
          <w:tcPr>
            <w:tcW w:w="4917" w:type="dxa"/>
            <w:tcBorders>
              <w:top w:val="single" w:sz="4" w:space="0" w:color="auto"/>
              <w:left w:val="nil"/>
              <w:bottom w:val="single" w:sz="4" w:space="0" w:color="auto"/>
              <w:right w:val="single" w:sz="4" w:space="0" w:color="auto"/>
            </w:tcBorders>
            <w:shd w:val="clear" w:color="auto" w:fill="auto"/>
            <w:vAlign w:val="center"/>
          </w:tcPr>
          <w:p w:rsidR="00662B31" w:rsidRPr="00662B31" w:rsidRDefault="00662B31" w:rsidP="0058591F">
            <w:pPr>
              <w:spacing w:line="240" w:lineRule="auto"/>
              <w:jc w:val="both"/>
              <w:rPr>
                <w:color w:val="000000" w:themeColor="text1"/>
                <w:sz w:val="20"/>
                <w:szCs w:val="20"/>
                <w:lang w:eastAsia="es-EC"/>
              </w:rPr>
            </w:pPr>
            <w:r w:rsidRPr="00662B31">
              <w:rPr>
                <w:color w:val="000000" w:themeColor="text1"/>
                <w:sz w:val="20"/>
                <w:szCs w:val="20"/>
                <w:lang w:eastAsia="es-EC"/>
              </w:rPr>
              <w:t xml:space="preserve">Perfeccionar el sistema de calificación, obtención de nuevos seguros y revalidaciones  automatizadas de los intermediarios del sistema. </w:t>
            </w:r>
          </w:p>
        </w:tc>
      </w:tr>
      <w:tr w:rsidR="00662B31" w:rsidRPr="00B60E4D" w:rsidTr="0058591F">
        <w:trPr>
          <w:trHeight w:val="1150"/>
        </w:trPr>
        <w:tc>
          <w:tcPr>
            <w:tcW w:w="4225" w:type="dxa"/>
            <w:tcBorders>
              <w:top w:val="single" w:sz="4" w:space="0" w:color="auto"/>
              <w:left w:val="single" w:sz="4" w:space="0" w:color="auto"/>
              <w:bottom w:val="single" w:sz="4" w:space="0" w:color="auto"/>
              <w:right w:val="single" w:sz="4" w:space="0" w:color="auto"/>
            </w:tcBorders>
            <w:shd w:val="clear" w:color="auto" w:fill="auto"/>
            <w:vAlign w:val="center"/>
          </w:tcPr>
          <w:p w:rsidR="00662B31" w:rsidRPr="00662B31" w:rsidRDefault="00662B31" w:rsidP="0058591F">
            <w:pPr>
              <w:spacing w:line="240" w:lineRule="auto"/>
              <w:jc w:val="both"/>
              <w:rPr>
                <w:bCs/>
                <w:color w:val="000000" w:themeColor="text1"/>
                <w:sz w:val="20"/>
                <w:szCs w:val="20"/>
                <w:lang w:eastAsia="es-EC"/>
              </w:rPr>
            </w:pPr>
            <w:r w:rsidRPr="00662B31">
              <w:rPr>
                <w:bCs/>
                <w:color w:val="000000" w:themeColor="text1"/>
                <w:sz w:val="20"/>
                <w:szCs w:val="20"/>
                <w:lang w:eastAsia="es-EC"/>
              </w:rPr>
              <w:t>Automatización de la autorización y registro de actos societarios de compañías aseguradoras y reaseguradoras. (Creación de un Registro de Sociedades de Seguros).</w:t>
            </w:r>
          </w:p>
          <w:p w:rsidR="00662B31" w:rsidRPr="00662B31" w:rsidRDefault="00662B31" w:rsidP="0058591F">
            <w:pPr>
              <w:spacing w:line="240" w:lineRule="auto"/>
              <w:jc w:val="both"/>
              <w:rPr>
                <w:bCs/>
                <w:color w:val="000000" w:themeColor="text1"/>
                <w:sz w:val="20"/>
                <w:szCs w:val="20"/>
                <w:lang w:eastAsia="es-EC"/>
              </w:rPr>
            </w:pPr>
          </w:p>
        </w:tc>
        <w:tc>
          <w:tcPr>
            <w:tcW w:w="4917" w:type="dxa"/>
            <w:tcBorders>
              <w:top w:val="single" w:sz="4" w:space="0" w:color="auto"/>
              <w:left w:val="nil"/>
              <w:bottom w:val="single" w:sz="4" w:space="0" w:color="auto"/>
              <w:right w:val="single" w:sz="4" w:space="0" w:color="auto"/>
            </w:tcBorders>
            <w:shd w:val="clear" w:color="auto" w:fill="auto"/>
            <w:vAlign w:val="center"/>
          </w:tcPr>
          <w:p w:rsidR="00662B31" w:rsidRPr="00662B31" w:rsidRDefault="00662B31" w:rsidP="0058591F">
            <w:pPr>
              <w:spacing w:line="240" w:lineRule="auto"/>
              <w:jc w:val="both"/>
              <w:rPr>
                <w:color w:val="000000" w:themeColor="text1"/>
                <w:sz w:val="20"/>
                <w:szCs w:val="20"/>
                <w:lang w:eastAsia="es-EC"/>
              </w:rPr>
            </w:pPr>
            <w:r w:rsidRPr="00662B31">
              <w:rPr>
                <w:color w:val="000000" w:themeColor="text1"/>
                <w:sz w:val="20"/>
                <w:szCs w:val="20"/>
                <w:lang w:eastAsia="es-EC"/>
              </w:rPr>
              <w:t xml:space="preserve">Que las compañías de seguros y reaseguros puedan acceder a un sistema automatizado y homogéneo que les permita alcanzar la aprobación y el registro de sus actos societarios, logrando una base de datos informativa actualizada. </w:t>
            </w:r>
          </w:p>
        </w:tc>
      </w:tr>
    </w:tbl>
    <w:p w:rsidR="00662B31" w:rsidRPr="00B60E4D" w:rsidRDefault="00662B31" w:rsidP="00662B31">
      <w:pPr>
        <w:pStyle w:val="Prrafodelista"/>
        <w:rPr>
          <w:color w:val="FF0000"/>
          <w:sz w:val="24"/>
          <w:lang w:val="es-MX"/>
        </w:rPr>
      </w:pPr>
    </w:p>
    <w:p w:rsidR="00807027" w:rsidRPr="00662B31" w:rsidRDefault="00D66ED1">
      <w:pPr>
        <w:rPr>
          <w:lang w:val="es-MX"/>
        </w:rPr>
      </w:pPr>
    </w:p>
    <w:sectPr w:rsidR="00807027" w:rsidRPr="00662B3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26055A"/>
    <w:multiLevelType w:val="multilevel"/>
    <w:tmpl w:val="0C00C1FA"/>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B31"/>
    <w:rsid w:val="00002DA1"/>
    <w:rsid w:val="00003EF3"/>
    <w:rsid w:val="00006A21"/>
    <w:rsid w:val="00007717"/>
    <w:rsid w:val="00015280"/>
    <w:rsid w:val="00022851"/>
    <w:rsid w:val="00024DBD"/>
    <w:rsid w:val="00031007"/>
    <w:rsid w:val="000357D1"/>
    <w:rsid w:val="00047DD2"/>
    <w:rsid w:val="00050AED"/>
    <w:rsid w:val="00052960"/>
    <w:rsid w:val="00055DE5"/>
    <w:rsid w:val="000562A7"/>
    <w:rsid w:val="00072851"/>
    <w:rsid w:val="00093E53"/>
    <w:rsid w:val="000D3039"/>
    <w:rsid w:val="000F22A4"/>
    <w:rsid w:val="001043F2"/>
    <w:rsid w:val="0011659B"/>
    <w:rsid w:val="001306C9"/>
    <w:rsid w:val="00135199"/>
    <w:rsid w:val="00135D2E"/>
    <w:rsid w:val="00154DA8"/>
    <w:rsid w:val="001619FE"/>
    <w:rsid w:val="0016223E"/>
    <w:rsid w:val="00177C8C"/>
    <w:rsid w:val="001953CE"/>
    <w:rsid w:val="001B78F4"/>
    <w:rsid w:val="001B7FF8"/>
    <w:rsid w:val="001C307D"/>
    <w:rsid w:val="001C67E9"/>
    <w:rsid w:val="001C6CE9"/>
    <w:rsid w:val="001D0710"/>
    <w:rsid w:val="001D1510"/>
    <w:rsid w:val="001D4229"/>
    <w:rsid w:val="001E3723"/>
    <w:rsid w:val="00224A70"/>
    <w:rsid w:val="00233883"/>
    <w:rsid w:val="00244E9C"/>
    <w:rsid w:val="002531C7"/>
    <w:rsid w:val="002532B2"/>
    <w:rsid w:val="0026073D"/>
    <w:rsid w:val="00263392"/>
    <w:rsid w:val="002644E2"/>
    <w:rsid w:val="00287121"/>
    <w:rsid w:val="00290872"/>
    <w:rsid w:val="00297E56"/>
    <w:rsid w:val="002A36E2"/>
    <w:rsid w:val="002A48E0"/>
    <w:rsid w:val="002B2C40"/>
    <w:rsid w:val="002C072B"/>
    <w:rsid w:val="002C23EC"/>
    <w:rsid w:val="002C5734"/>
    <w:rsid w:val="002F7E59"/>
    <w:rsid w:val="00302083"/>
    <w:rsid w:val="00312935"/>
    <w:rsid w:val="003214E7"/>
    <w:rsid w:val="0033192E"/>
    <w:rsid w:val="003344B6"/>
    <w:rsid w:val="003532E2"/>
    <w:rsid w:val="00354B30"/>
    <w:rsid w:val="00393100"/>
    <w:rsid w:val="00393DA6"/>
    <w:rsid w:val="003D0F4C"/>
    <w:rsid w:val="003D1935"/>
    <w:rsid w:val="003D2152"/>
    <w:rsid w:val="003E6DED"/>
    <w:rsid w:val="004016F9"/>
    <w:rsid w:val="004114E8"/>
    <w:rsid w:val="00420CEC"/>
    <w:rsid w:val="00421418"/>
    <w:rsid w:val="00425F70"/>
    <w:rsid w:val="00426F77"/>
    <w:rsid w:val="0042706A"/>
    <w:rsid w:val="00436757"/>
    <w:rsid w:val="004647F2"/>
    <w:rsid w:val="0048330C"/>
    <w:rsid w:val="004A0ADB"/>
    <w:rsid w:val="004C4637"/>
    <w:rsid w:val="004D2CBD"/>
    <w:rsid w:val="004E4271"/>
    <w:rsid w:val="004E7370"/>
    <w:rsid w:val="004F096B"/>
    <w:rsid w:val="004F5D96"/>
    <w:rsid w:val="00505579"/>
    <w:rsid w:val="005131FD"/>
    <w:rsid w:val="005176A2"/>
    <w:rsid w:val="005209C8"/>
    <w:rsid w:val="00520C2F"/>
    <w:rsid w:val="00583888"/>
    <w:rsid w:val="00586608"/>
    <w:rsid w:val="005B4179"/>
    <w:rsid w:val="005B488C"/>
    <w:rsid w:val="005C33C6"/>
    <w:rsid w:val="005D4F5F"/>
    <w:rsid w:val="005E11C7"/>
    <w:rsid w:val="005E34C5"/>
    <w:rsid w:val="005E649E"/>
    <w:rsid w:val="005F1A18"/>
    <w:rsid w:val="005F678C"/>
    <w:rsid w:val="006017F0"/>
    <w:rsid w:val="00604CE9"/>
    <w:rsid w:val="00620449"/>
    <w:rsid w:val="00623F10"/>
    <w:rsid w:val="006275E9"/>
    <w:rsid w:val="006510C1"/>
    <w:rsid w:val="00662B31"/>
    <w:rsid w:val="006713DB"/>
    <w:rsid w:val="00673651"/>
    <w:rsid w:val="00673D85"/>
    <w:rsid w:val="00682045"/>
    <w:rsid w:val="00686F47"/>
    <w:rsid w:val="006938CC"/>
    <w:rsid w:val="006965B8"/>
    <w:rsid w:val="00696C4F"/>
    <w:rsid w:val="006A0E98"/>
    <w:rsid w:val="006A4413"/>
    <w:rsid w:val="006C0A3B"/>
    <w:rsid w:val="006C0C2C"/>
    <w:rsid w:val="006C487F"/>
    <w:rsid w:val="006D235D"/>
    <w:rsid w:val="006D38EF"/>
    <w:rsid w:val="006F6DCB"/>
    <w:rsid w:val="00713E3E"/>
    <w:rsid w:val="00724DDB"/>
    <w:rsid w:val="00735FA6"/>
    <w:rsid w:val="007379B3"/>
    <w:rsid w:val="007507CD"/>
    <w:rsid w:val="00756D35"/>
    <w:rsid w:val="007639D5"/>
    <w:rsid w:val="007706E4"/>
    <w:rsid w:val="00790693"/>
    <w:rsid w:val="007A253A"/>
    <w:rsid w:val="007A55BD"/>
    <w:rsid w:val="007E66BF"/>
    <w:rsid w:val="007F55AB"/>
    <w:rsid w:val="00803238"/>
    <w:rsid w:val="00831448"/>
    <w:rsid w:val="0086213C"/>
    <w:rsid w:val="00890398"/>
    <w:rsid w:val="00891F4F"/>
    <w:rsid w:val="008A0EF1"/>
    <w:rsid w:val="008B0662"/>
    <w:rsid w:val="008B239B"/>
    <w:rsid w:val="008B5128"/>
    <w:rsid w:val="008B61C7"/>
    <w:rsid w:val="008C3094"/>
    <w:rsid w:val="00900C18"/>
    <w:rsid w:val="009143AB"/>
    <w:rsid w:val="00914554"/>
    <w:rsid w:val="00931938"/>
    <w:rsid w:val="00931E65"/>
    <w:rsid w:val="00941976"/>
    <w:rsid w:val="00941CDF"/>
    <w:rsid w:val="00955218"/>
    <w:rsid w:val="00961DC5"/>
    <w:rsid w:val="009671C7"/>
    <w:rsid w:val="009772D1"/>
    <w:rsid w:val="009815B4"/>
    <w:rsid w:val="009A73C9"/>
    <w:rsid w:val="009C4B9C"/>
    <w:rsid w:val="009E3024"/>
    <w:rsid w:val="009F3A71"/>
    <w:rsid w:val="00A033C1"/>
    <w:rsid w:val="00A04E4A"/>
    <w:rsid w:val="00A26475"/>
    <w:rsid w:val="00A45AD8"/>
    <w:rsid w:val="00A5089A"/>
    <w:rsid w:val="00A531CE"/>
    <w:rsid w:val="00A74513"/>
    <w:rsid w:val="00A767F1"/>
    <w:rsid w:val="00A8211B"/>
    <w:rsid w:val="00A84C82"/>
    <w:rsid w:val="00A963DC"/>
    <w:rsid w:val="00AA5BC1"/>
    <w:rsid w:val="00AB6986"/>
    <w:rsid w:val="00AC0BE0"/>
    <w:rsid w:val="00AC251E"/>
    <w:rsid w:val="00AD0B5F"/>
    <w:rsid w:val="00AE16A4"/>
    <w:rsid w:val="00AE61CD"/>
    <w:rsid w:val="00B0332C"/>
    <w:rsid w:val="00B03A50"/>
    <w:rsid w:val="00B03FDA"/>
    <w:rsid w:val="00B04A81"/>
    <w:rsid w:val="00B13085"/>
    <w:rsid w:val="00B20E81"/>
    <w:rsid w:val="00B22564"/>
    <w:rsid w:val="00B32FA1"/>
    <w:rsid w:val="00B34FA7"/>
    <w:rsid w:val="00B5080C"/>
    <w:rsid w:val="00B72BED"/>
    <w:rsid w:val="00B86074"/>
    <w:rsid w:val="00B86319"/>
    <w:rsid w:val="00B944B0"/>
    <w:rsid w:val="00BA61E8"/>
    <w:rsid w:val="00BC317E"/>
    <w:rsid w:val="00BD0AD6"/>
    <w:rsid w:val="00BD7C12"/>
    <w:rsid w:val="00BE2066"/>
    <w:rsid w:val="00BE228D"/>
    <w:rsid w:val="00BE4352"/>
    <w:rsid w:val="00BF503F"/>
    <w:rsid w:val="00C01A11"/>
    <w:rsid w:val="00C11962"/>
    <w:rsid w:val="00C22E00"/>
    <w:rsid w:val="00C47F84"/>
    <w:rsid w:val="00C50339"/>
    <w:rsid w:val="00C54D81"/>
    <w:rsid w:val="00C63C1E"/>
    <w:rsid w:val="00C66E01"/>
    <w:rsid w:val="00C90312"/>
    <w:rsid w:val="00C9751B"/>
    <w:rsid w:val="00CA67D9"/>
    <w:rsid w:val="00CB7C58"/>
    <w:rsid w:val="00CD480A"/>
    <w:rsid w:val="00CE1019"/>
    <w:rsid w:val="00CE12AD"/>
    <w:rsid w:val="00CE5E7D"/>
    <w:rsid w:val="00CE7965"/>
    <w:rsid w:val="00D042CD"/>
    <w:rsid w:val="00D10531"/>
    <w:rsid w:val="00D119E8"/>
    <w:rsid w:val="00D12920"/>
    <w:rsid w:val="00D2673C"/>
    <w:rsid w:val="00D3611D"/>
    <w:rsid w:val="00D4744B"/>
    <w:rsid w:val="00D66ED1"/>
    <w:rsid w:val="00D759E9"/>
    <w:rsid w:val="00DA12BD"/>
    <w:rsid w:val="00DA325D"/>
    <w:rsid w:val="00DB465A"/>
    <w:rsid w:val="00DB629A"/>
    <w:rsid w:val="00DC4EC0"/>
    <w:rsid w:val="00DC611A"/>
    <w:rsid w:val="00DF6837"/>
    <w:rsid w:val="00E14096"/>
    <w:rsid w:val="00E178F3"/>
    <w:rsid w:val="00E32B81"/>
    <w:rsid w:val="00E34F7A"/>
    <w:rsid w:val="00E35D3C"/>
    <w:rsid w:val="00E374D6"/>
    <w:rsid w:val="00E378D6"/>
    <w:rsid w:val="00E456B6"/>
    <w:rsid w:val="00E528A2"/>
    <w:rsid w:val="00E600CE"/>
    <w:rsid w:val="00E67BAF"/>
    <w:rsid w:val="00E72202"/>
    <w:rsid w:val="00E764FD"/>
    <w:rsid w:val="00E77069"/>
    <w:rsid w:val="00E83430"/>
    <w:rsid w:val="00E840EB"/>
    <w:rsid w:val="00E86ED9"/>
    <w:rsid w:val="00E92B9A"/>
    <w:rsid w:val="00EA553B"/>
    <w:rsid w:val="00EA7905"/>
    <w:rsid w:val="00EB025B"/>
    <w:rsid w:val="00EB52B5"/>
    <w:rsid w:val="00EC525F"/>
    <w:rsid w:val="00ED7A43"/>
    <w:rsid w:val="00EE2719"/>
    <w:rsid w:val="00EE6A8B"/>
    <w:rsid w:val="00F01ADC"/>
    <w:rsid w:val="00F03DE3"/>
    <w:rsid w:val="00F10472"/>
    <w:rsid w:val="00F11CC4"/>
    <w:rsid w:val="00F15481"/>
    <w:rsid w:val="00F160AA"/>
    <w:rsid w:val="00F237C5"/>
    <w:rsid w:val="00F305FD"/>
    <w:rsid w:val="00F37EE7"/>
    <w:rsid w:val="00F4232F"/>
    <w:rsid w:val="00F6210B"/>
    <w:rsid w:val="00F721F6"/>
    <w:rsid w:val="00F812FF"/>
    <w:rsid w:val="00F928A1"/>
    <w:rsid w:val="00FA5ACC"/>
    <w:rsid w:val="00FC09FE"/>
    <w:rsid w:val="00FD74B8"/>
    <w:rsid w:val="00FE4861"/>
    <w:rsid w:val="00FF1CC8"/>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2B31"/>
  </w:style>
  <w:style w:type="paragraph" w:styleId="Ttulo1">
    <w:name w:val="heading 1"/>
    <w:basedOn w:val="Normal"/>
    <w:next w:val="Normal"/>
    <w:link w:val="Ttulo1Car"/>
    <w:uiPriority w:val="9"/>
    <w:qFormat/>
    <w:rsid w:val="00662B31"/>
    <w:pPr>
      <w:keepNext/>
      <w:keepLines/>
      <w:numPr>
        <w:numId w:val="1"/>
      </w:numPr>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662B31"/>
    <w:pPr>
      <w:keepNext/>
      <w:keepLines/>
      <w:numPr>
        <w:ilvl w:val="1"/>
        <w:numId w:val="1"/>
      </w:numPr>
      <w:spacing w:before="200" w:after="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662B31"/>
    <w:pPr>
      <w:keepNext/>
      <w:keepLines/>
      <w:numPr>
        <w:ilvl w:val="2"/>
        <w:numId w:val="1"/>
      </w:numPr>
      <w:spacing w:before="200" w:after="0" w:line="240" w:lineRule="auto"/>
      <w:outlineLvl w:val="2"/>
    </w:pPr>
    <w:rPr>
      <w:rFonts w:asciiTheme="majorHAnsi" w:eastAsiaTheme="majorEastAsia" w:hAnsiTheme="majorHAnsi" w:cstheme="majorBidi"/>
      <w:b/>
      <w:bCs/>
      <w:color w:val="5B9BD5" w:themeColor="accent1"/>
      <w:sz w:val="24"/>
      <w:szCs w:val="24"/>
      <w:lang w:val="en-US" w:eastAsia="es-ES"/>
    </w:rPr>
  </w:style>
  <w:style w:type="paragraph" w:styleId="Ttulo4">
    <w:name w:val="heading 4"/>
    <w:basedOn w:val="Normal"/>
    <w:next w:val="Normal"/>
    <w:link w:val="Ttulo4Car"/>
    <w:uiPriority w:val="9"/>
    <w:semiHidden/>
    <w:unhideWhenUsed/>
    <w:qFormat/>
    <w:rsid w:val="00662B31"/>
    <w:pPr>
      <w:keepNext/>
      <w:keepLines/>
      <w:numPr>
        <w:ilvl w:val="3"/>
        <w:numId w:val="1"/>
      </w:numPr>
      <w:spacing w:before="200" w:after="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662B31"/>
    <w:pPr>
      <w:keepNext/>
      <w:keepLines/>
      <w:numPr>
        <w:ilvl w:val="4"/>
        <w:numId w:val="1"/>
      </w:numPr>
      <w:spacing w:before="200" w:after="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662B31"/>
    <w:pPr>
      <w:keepNext/>
      <w:keepLines/>
      <w:numPr>
        <w:ilvl w:val="5"/>
        <w:numId w:val="1"/>
      </w:numPr>
      <w:spacing w:before="200" w:after="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662B31"/>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662B31"/>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662B31"/>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62B31"/>
    <w:rPr>
      <w:rFonts w:asciiTheme="majorHAnsi" w:eastAsiaTheme="majorEastAsia" w:hAnsiTheme="majorHAnsi" w:cstheme="majorBidi"/>
      <w:b/>
      <w:bCs/>
      <w:color w:val="2E74B5" w:themeColor="accent1" w:themeShade="BF"/>
      <w:sz w:val="28"/>
      <w:szCs w:val="28"/>
    </w:rPr>
  </w:style>
  <w:style w:type="character" w:customStyle="1" w:styleId="Ttulo2Car">
    <w:name w:val="Título 2 Car"/>
    <w:basedOn w:val="Fuentedeprrafopredeter"/>
    <w:link w:val="Ttulo2"/>
    <w:uiPriority w:val="9"/>
    <w:rsid w:val="00662B31"/>
    <w:rPr>
      <w:rFonts w:asciiTheme="majorHAnsi" w:eastAsiaTheme="majorEastAsia" w:hAnsiTheme="majorHAnsi" w:cstheme="majorBidi"/>
      <w:b/>
      <w:bCs/>
      <w:color w:val="5B9BD5" w:themeColor="accent1"/>
      <w:sz w:val="26"/>
      <w:szCs w:val="26"/>
    </w:rPr>
  </w:style>
  <w:style w:type="character" w:customStyle="1" w:styleId="Ttulo3Car">
    <w:name w:val="Título 3 Car"/>
    <w:basedOn w:val="Fuentedeprrafopredeter"/>
    <w:link w:val="Ttulo3"/>
    <w:uiPriority w:val="9"/>
    <w:rsid w:val="00662B31"/>
    <w:rPr>
      <w:rFonts w:asciiTheme="majorHAnsi" w:eastAsiaTheme="majorEastAsia" w:hAnsiTheme="majorHAnsi" w:cstheme="majorBidi"/>
      <w:b/>
      <w:bCs/>
      <w:color w:val="5B9BD5" w:themeColor="accent1"/>
      <w:sz w:val="24"/>
      <w:szCs w:val="24"/>
      <w:lang w:val="en-US" w:eastAsia="es-ES"/>
    </w:rPr>
  </w:style>
  <w:style w:type="character" w:customStyle="1" w:styleId="Ttulo4Car">
    <w:name w:val="Título 4 Car"/>
    <w:basedOn w:val="Fuentedeprrafopredeter"/>
    <w:link w:val="Ttulo4"/>
    <w:uiPriority w:val="9"/>
    <w:semiHidden/>
    <w:rsid w:val="00662B31"/>
    <w:rPr>
      <w:rFonts w:asciiTheme="majorHAnsi" w:eastAsiaTheme="majorEastAsia" w:hAnsiTheme="majorHAnsi" w:cstheme="majorBidi"/>
      <w:b/>
      <w:bCs/>
      <w:i/>
      <w:iCs/>
      <w:color w:val="5B9BD5" w:themeColor="accent1"/>
    </w:rPr>
  </w:style>
  <w:style w:type="character" w:customStyle="1" w:styleId="Ttulo5Car">
    <w:name w:val="Título 5 Car"/>
    <w:basedOn w:val="Fuentedeprrafopredeter"/>
    <w:link w:val="Ttulo5"/>
    <w:uiPriority w:val="9"/>
    <w:semiHidden/>
    <w:rsid w:val="00662B31"/>
    <w:rPr>
      <w:rFonts w:asciiTheme="majorHAnsi" w:eastAsiaTheme="majorEastAsia" w:hAnsiTheme="majorHAnsi" w:cstheme="majorBidi"/>
      <w:color w:val="1F4D78" w:themeColor="accent1" w:themeShade="7F"/>
    </w:rPr>
  </w:style>
  <w:style w:type="character" w:customStyle="1" w:styleId="Ttulo6Car">
    <w:name w:val="Título 6 Car"/>
    <w:basedOn w:val="Fuentedeprrafopredeter"/>
    <w:link w:val="Ttulo6"/>
    <w:uiPriority w:val="9"/>
    <w:semiHidden/>
    <w:rsid w:val="00662B31"/>
    <w:rPr>
      <w:rFonts w:asciiTheme="majorHAnsi" w:eastAsiaTheme="majorEastAsia" w:hAnsiTheme="majorHAnsi" w:cstheme="majorBidi"/>
      <w:i/>
      <w:iCs/>
      <w:color w:val="1F4D78" w:themeColor="accent1" w:themeShade="7F"/>
    </w:rPr>
  </w:style>
  <w:style w:type="character" w:customStyle="1" w:styleId="Ttulo7Car">
    <w:name w:val="Título 7 Car"/>
    <w:basedOn w:val="Fuentedeprrafopredeter"/>
    <w:link w:val="Ttulo7"/>
    <w:uiPriority w:val="9"/>
    <w:semiHidden/>
    <w:rsid w:val="00662B31"/>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662B31"/>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662B31"/>
    <w:rPr>
      <w:rFonts w:asciiTheme="majorHAnsi" w:eastAsiaTheme="majorEastAsia" w:hAnsiTheme="majorHAnsi" w:cstheme="majorBidi"/>
      <w:i/>
      <w:iCs/>
      <w:color w:val="404040" w:themeColor="text1" w:themeTint="BF"/>
      <w:sz w:val="20"/>
      <w:szCs w:val="20"/>
    </w:rPr>
  </w:style>
  <w:style w:type="table" w:styleId="Tablaconcuadrcula">
    <w:name w:val="Table Grid"/>
    <w:basedOn w:val="Tablanormal"/>
    <w:uiPriority w:val="59"/>
    <w:rsid w:val="00662B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662B31"/>
    <w:pPr>
      <w:ind w:left="720"/>
      <w:contextualSpacing/>
    </w:pPr>
  </w:style>
  <w:style w:type="character" w:customStyle="1" w:styleId="PrrafodelistaCar">
    <w:name w:val="Párrafo de lista Car"/>
    <w:link w:val="Prrafodelista"/>
    <w:uiPriority w:val="34"/>
    <w:locked/>
    <w:rsid w:val="00662B31"/>
  </w:style>
  <w:style w:type="paragraph" w:styleId="Sinespaciado">
    <w:name w:val="No Spacing"/>
    <w:uiPriority w:val="1"/>
    <w:qFormat/>
    <w:rsid w:val="00FD74B8"/>
    <w:pPr>
      <w:spacing w:after="0" w:line="240" w:lineRule="auto"/>
    </w:pPr>
    <w:rPr>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2B31"/>
  </w:style>
  <w:style w:type="paragraph" w:styleId="Ttulo1">
    <w:name w:val="heading 1"/>
    <w:basedOn w:val="Normal"/>
    <w:next w:val="Normal"/>
    <w:link w:val="Ttulo1Car"/>
    <w:uiPriority w:val="9"/>
    <w:qFormat/>
    <w:rsid w:val="00662B31"/>
    <w:pPr>
      <w:keepNext/>
      <w:keepLines/>
      <w:numPr>
        <w:numId w:val="1"/>
      </w:numPr>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662B31"/>
    <w:pPr>
      <w:keepNext/>
      <w:keepLines/>
      <w:numPr>
        <w:ilvl w:val="1"/>
        <w:numId w:val="1"/>
      </w:numPr>
      <w:spacing w:before="200" w:after="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662B31"/>
    <w:pPr>
      <w:keepNext/>
      <w:keepLines/>
      <w:numPr>
        <w:ilvl w:val="2"/>
        <w:numId w:val="1"/>
      </w:numPr>
      <w:spacing w:before="200" w:after="0" w:line="240" w:lineRule="auto"/>
      <w:outlineLvl w:val="2"/>
    </w:pPr>
    <w:rPr>
      <w:rFonts w:asciiTheme="majorHAnsi" w:eastAsiaTheme="majorEastAsia" w:hAnsiTheme="majorHAnsi" w:cstheme="majorBidi"/>
      <w:b/>
      <w:bCs/>
      <w:color w:val="5B9BD5" w:themeColor="accent1"/>
      <w:sz w:val="24"/>
      <w:szCs w:val="24"/>
      <w:lang w:val="en-US" w:eastAsia="es-ES"/>
    </w:rPr>
  </w:style>
  <w:style w:type="paragraph" w:styleId="Ttulo4">
    <w:name w:val="heading 4"/>
    <w:basedOn w:val="Normal"/>
    <w:next w:val="Normal"/>
    <w:link w:val="Ttulo4Car"/>
    <w:uiPriority w:val="9"/>
    <w:semiHidden/>
    <w:unhideWhenUsed/>
    <w:qFormat/>
    <w:rsid w:val="00662B31"/>
    <w:pPr>
      <w:keepNext/>
      <w:keepLines/>
      <w:numPr>
        <w:ilvl w:val="3"/>
        <w:numId w:val="1"/>
      </w:numPr>
      <w:spacing w:before="200" w:after="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662B31"/>
    <w:pPr>
      <w:keepNext/>
      <w:keepLines/>
      <w:numPr>
        <w:ilvl w:val="4"/>
        <w:numId w:val="1"/>
      </w:numPr>
      <w:spacing w:before="200" w:after="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662B31"/>
    <w:pPr>
      <w:keepNext/>
      <w:keepLines/>
      <w:numPr>
        <w:ilvl w:val="5"/>
        <w:numId w:val="1"/>
      </w:numPr>
      <w:spacing w:before="200" w:after="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662B31"/>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662B31"/>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662B31"/>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62B31"/>
    <w:rPr>
      <w:rFonts w:asciiTheme="majorHAnsi" w:eastAsiaTheme="majorEastAsia" w:hAnsiTheme="majorHAnsi" w:cstheme="majorBidi"/>
      <w:b/>
      <w:bCs/>
      <w:color w:val="2E74B5" w:themeColor="accent1" w:themeShade="BF"/>
      <w:sz w:val="28"/>
      <w:szCs w:val="28"/>
    </w:rPr>
  </w:style>
  <w:style w:type="character" w:customStyle="1" w:styleId="Ttulo2Car">
    <w:name w:val="Título 2 Car"/>
    <w:basedOn w:val="Fuentedeprrafopredeter"/>
    <w:link w:val="Ttulo2"/>
    <w:uiPriority w:val="9"/>
    <w:rsid w:val="00662B31"/>
    <w:rPr>
      <w:rFonts w:asciiTheme="majorHAnsi" w:eastAsiaTheme="majorEastAsia" w:hAnsiTheme="majorHAnsi" w:cstheme="majorBidi"/>
      <w:b/>
      <w:bCs/>
      <w:color w:val="5B9BD5" w:themeColor="accent1"/>
      <w:sz w:val="26"/>
      <w:szCs w:val="26"/>
    </w:rPr>
  </w:style>
  <w:style w:type="character" w:customStyle="1" w:styleId="Ttulo3Car">
    <w:name w:val="Título 3 Car"/>
    <w:basedOn w:val="Fuentedeprrafopredeter"/>
    <w:link w:val="Ttulo3"/>
    <w:uiPriority w:val="9"/>
    <w:rsid w:val="00662B31"/>
    <w:rPr>
      <w:rFonts w:asciiTheme="majorHAnsi" w:eastAsiaTheme="majorEastAsia" w:hAnsiTheme="majorHAnsi" w:cstheme="majorBidi"/>
      <w:b/>
      <w:bCs/>
      <w:color w:val="5B9BD5" w:themeColor="accent1"/>
      <w:sz w:val="24"/>
      <w:szCs w:val="24"/>
      <w:lang w:val="en-US" w:eastAsia="es-ES"/>
    </w:rPr>
  </w:style>
  <w:style w:type="character" w:customStyle="1" w:styleId="Ttulo4Car">
    <w:name w:val="Título 4 Car"/>
    <w:basedOn w:val="Fuentedeprrafopredeter"/>
    <w:link w:val="Ttulo4"/>
    <w:uiPriority w:val="9"/>
    <w:semiHidden/>
    <w:rsid w:val="00662B31"/>
    <w:rPr>
      <w:rFonts w:asciiTheme="majorHAnsi" w:eastAsiaTheme="majorEastAsia" w:hAnsiTheme="majorHAnsi" w:cstheme="majorBidi"/>
      <w:b/>
      <w:bCs/>
      <w:i/>
      <w:iCs/>
      <w:color w:val="5B9BD5" w:themeColor="accent1"/>
    </w:rPr>
  </w:style>
  <w:style w:type="character" w:customStyle="1" w:styleId="Ttulo5Car">
    <w:name w:val="Título 5 Car"/>
    <w:basedOn w:val="Fuentedeprrafopredeter"/>
    <w:link w:val="Ttulo5"/>
    <w:uiPriority w:val="9"/>
    <w:semiHidden/>
    <w:rsid w:val="00662B31"/>
    <w:rPr>
      <w:rFonts w:asciiTheme="majorHAnsi" w:eastAsiaTheme="majorEastAsia" w:hAnsiTheme="majorHAnsi" w:cstheme="majorBidi"/>
      <w:color w:val="1F4D78" w:themeColor="accent1" w:themeShade="7F"/>
    </w:rPr>
  </w:style>
  <w:style w:type="character" w:customStyle="1" w:styleId="Ttulo6Car">
    <w:name w:val="Título 6 Car"/>
    <w:basedOn w:val="Fuentedeprrafopredeter"/>
    <w:link w:val="Ttulo6"/>
    <w:uiPriority w:val="9"/>
    <w:semiHidden/>
    <w:rsid w:val="00662B31"/>
    <w:rPr>
      <w:rFonts w:asciiTheme="majorHAnsi" w:eastAsiaTheme="majorEastAsia" w:hAnsiTheme="majorHAnsi" w:cstheme="majorBidi"/>
      <w:i/>
      <w:iCs/>
      <w:color w:val="1F4D78" w:themeColor="accent1" w:themeShade="7F"/>
    </w:rPr>
  </w:style>
  <w:style w:type="character" w:customStyle="1" w:styleId="Ttulo7Car">
    <w:name w:val="Título 7 Car"/>
    <w:basedOn w:val="Fuentedeprrafopredeter"/>
    <w:link w:val="Ttulo7"/>
    <w:uiPriority w:val="9"/>
    <w:semiHidden/>
    <w:rsid w:val="00662B31"/>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662B31"/>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662B31"/>
    <w:rPr>
      <w:rFonts w:asciiTheme="majorHAnsi" w:eastAsiaTheme="majorEastAsia" w:hAnsiTheme="majorHAnsi" w:cstheme="majorBidi"/>
      <w:i/>
      <w:iCs/>
      <w:color w:val="404040" w:themeColor="text1" w:themeTint="BF"/>
      <w:sz w:val="20"/>
      <w:szCs w:val="20"/>
    </w:rPr>
  </w:style>
  <w:style w:type="table" w:styleId="Tablaconcuadrcula">
    <w:name w:val="Table Grid"/>
    <w:basedOn w:val="Tablanormal"/>
    <w:uiPriority w:val="59"/>
    <w:rsid w:val="00662B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662B31"/>
    <w:pPr>
      <w:ind w:left="720"/>
      <w:contextualSpacing/>
    </w:pPr>
  </w:style>
  <w:style w:type="character" w:customStyle="1" w:styleId="PrrafodelistaCar">
    <w:name w:val="Párrafo de lista Car"/>
    <w:link w:val="Prrafodelista"/>
    <w:uiPriority w:val="34"/>
    <w:locked/>
    <w:rsid w:val="00662B31"/>
  </w:style>
  <w:style w:type="paragraph" w:styleId="Sinespaciado">
    <w:name w:val="No Spacing"/>
    <w:uiPriority w:val="1"/>
    <w:qFormat/>
    <w:rsid w:val="00FD74B8"/>
    <w:pPr>
      <w:spacing w:after="0" w:line="240" w:lineRule="auto"/>
    </w:pPr>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403</Words>
  <Characters>2217</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Troya Valdivieso Ana Dolores</dc:creator>
  <cp:lastModifiedBy>Troya Valdivieso Ana Dolores</cp:lastModifiedBy>
  <cp:revision>2</cp:revision>
  <cp:lastPrinted>2017-06-14T21:16:00Z</cp:lastPrinted>
  <dcterms:created xsi:type="dcterms:W3CDTF">2022-12-29T18:32:00Z</dcterms:created>
  <dcterms:modified xsi:type="dcterms:W3CDTF">2022-12-29T18:32:00Z</dcterms:modified>
</cp:coreProperties>
</file>