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522" w:rsidRPr="00692FAD" w:rsidRDefault="003A4522" w:rsidP="003A4522">
      <w:pPr>
        <w:pStyle w:val="Ttulo3"/>
        <w:numPr>
          <w:ilvl w:val="0"/>
          <w:numId w:val="7"/>
        </w:numPr>
        <w:rPr>
          <w:rFonts w:cstheme="minorHAnsi"/>
          <w:sz w:val="22"/>
          <w:szCs w:val="22"/>
        </w:rPr>
      </w:pPr>
      <w:bookmarkStart w:id="0" w:name="_Toc94576474"/>
      <w:bookmarkStart w:id="1" w:name="_Toc94577849"/>
      <w:bookmarkStart w:id="2" w:name="_GoBack"/>
      <w:bookmarkEnd w:id="2"/>
      <w:r w:rsidRPr="00692FAD">
        <w:rPr>
          <w:rFonts w:cstheme="minorHAnsi"/>
          <w:sz w:val="22"/>
          <w:szCs w:val="22"/>
        </w:rPr>
        <w:t>Dirección  Regional de Mercado de Valores:</w:t>
      </w:r>
      <w:bookmarkEnd w:id="0"/>
      <w:bookmarkEnd w:id="1"/>
    </w:p>
    <w:p w:rsidR="003A4522" w:rsidRPr="00692FAD" w:rsidRDefault="003A4522" w:rsidP="003A4522">
      <w:pPr>
        <w:pStyle w:val="Prrafodelista"/>
        <w:numPr>
          <w:ilvl w:val="0"/>
          <w:numId w:val="0"/>
        </w:numPr>
        <w:ind w:left="720"/>
        <w:jc w:val="both"/>
        <w:rPr>
          <w:rFonts w:cstheme="minorHAnsi"/>
          <w:b w:val="0"/>
          <w:sz w:val="22"/>
          <w:szCs w:val="22"/>
          <w:u w:val="single"/>
        </w:rPr>
      </w:pPr>
    </w:p>
    <w:p w:rsidR="003A4522" w:rsidRPr="00692FAD" w:rsidRDefault="003A4522" w:rsidP="003A4522">
      <w:pPr>
        <w:spacing w:after="0" w:line="360" w:lineRule="auto"/>
        <w:jc w:val="both"/>
        <w:rPr>
          <w:rFonts w:cstheme="minorHAnsi"/>
          <w:lang w:val="es-MX"/>
        </w:rPr>
      </w:pPr>
      <w:bookmarkStart w:id="3" w:name="_Toc94577850"/>
      <w:r w:rsidRPr="00692FAD">
        <w:rPr>
          <w:rStyle w:val="Ttulo4Car"/>
          <w:sz w:val="22"/>
          <w:szCs w:val="22"/>
          <w:highlight w:val="yellow"/>
        </w:rPr>
        <w:t>Control</w:t>
      </w:r>
      <w:bookmarkEnd w:id="3"/>
      <w:r w:rsidRPr="00692FAD">
        <w:rPr>
          <w:rFonts w:cstheme="minorHAnsi"/>
          <w:highlight w:val="yellow"/>
          <w:lang w:val="es-MX"/>
        </w:rPr>
        <w:t xml:space="preserve">.- </w:t>
      </w:r>
      <w:r w:rsidRPr="001E464D">
        <w:rPr>
          <w:rFonts w:cstheme="minorHAnsi"/>
          <w:lang w:val="es-MX"/>
        </w:rPr>
        <w:t>Describa brevemente la gestión realizada:</w:t>
      </w:r>
    </w:p>
    <w:p w:rsidR="00AC02B7" w:rsidRPr="00692FAD" w:rsidRDefault="00AC02B7" w:rsidP="00AC02B7">
      <w:pPr>
        <w:spacing w:after="0" w:line="360" w:lineRule="auto"/>
        <w:jc w:val="both"/>
        <w:rPr>
          <w:rFonts w:cstheme="minorHAnsi"/>
          <w:lang w:val="es-MX"/>
        </w:rPr>
      </w:pPr>
    </w:p>
    <w:p w:rsidR="00AC02B7" w:rsidRPr="00692FAD" w:rsidRDefault="00AC02B7" w:rsidP="00AC02B7">
      <w:pPr>
        <w:spacing w:after="0" w:line="360" w:lineRule="auto"/>
        <w:jc w:val="both"/>
        <w:rPr>
          <w:rFonts w:cstheme="minorHAnsi"/>
          <w:lang w:val="es-MX"/>
        </w:rPr>
      </w:pPr>
      <w:r w:rsidRPr="00692FAD">
        <w:rPr>
          <w:rFonts w:cstheme="minorHAnsi"/>
          <w:noProof/>
          <w:lang w:val="es-ES" w:eastAsia="es-ES"/>
        </w:rPr>
        <mc:AlternateContent>
          <mc:Choice Requires="wps">
            <w:drawing>
              <wp:anchor distT="0" distB="0" distL="114300" distR="114300" simplePos="0" relativeHeight="251662336" behindDoc="0" locked="0" layoutInCell="1" allowOverlap="1" wp14:anchorId="683F7BBF" wp14:editId="667B32A4">
                <wp:simplePos x="0" y="0"/>
                <wp:positionH relativeFrom="column">
                  <wp:posOffset>64853</wp:posOffset>
                </wp:positionH>
                <wp:positionV relativeFrom="paragraph">
                  <wp:posOffset>19050</wp:posOffset>
                </wp:positionV>
                <wp:extent cx="5819775" cy="8412480"/>
                <wp:effectExtent l="0" t="0" r="28575" b="26670"/>
                <wp:wrapNone/>
                <wp:docPr id="105" name="105 Cuadro de texto"/>
                <wp:cNvGraphicFramePr/>
                <a:graphic xmlns:a="http://schemas.openxmlformats.org/drawingml/2006/main">
                  <a:graphicData uri="http://schemas.microsoft.com/office/word/2010/wordprocessingShape">
                    <wps:wsp>
                      <wps:cNvSpPr txBox="1"/>
                      <wps:spPr>
                        <a:xfrm>
                          <a:off x="0" y="0"/>
                          <a:ext cx="5819775" cy="8412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C02B7" w:rsidRPr="00AC02B7" w:rsidRDefault="00AC02B7" w:rsidP="00AC02B7">
                            <w:pPr>
                              <w:pStyle w:val="Prrafodelista"/>
                              <w:numPr>
                                <w:ilvl w:val="0"/>
                                <w:numId w:val="10"/>
                              </w:numPr>
                              <w:spacing w:after="160" w:line="259" w:lineRule="auto"/>
                              <w:jc w:val="both"/>
                              <w:rPr>
                                <w:b w:val="0"/>
                                <w:sz w:val="22"/>
                                <w:szCs w:val="22"/>
                              </w:rPr>
                            </w:pPr>
                            <w:r w:rsidRPr="00AC02B7">
                              <w:rPr>
                                <w:b w:val="0"/>
                                <w:sz w:val="22"/>
                                <w:szCs w:val="22"/>
                              </w:rPr>
                              <w:t>ORION CASA DE VALORES S.A.: Se finalizó el proceso de actuaciones previas por administrar títulos valores no inscritos en el portafolio de Aseguradora del Sur C.A., el 25 de abril de 2022. Mediante Resolución No. SCVS-IRQ-DRMV-2022-00006010 de 18 de agosto de 2022, se sancionó este hecho con una MULTA de 120 SALARIOS BÁSICOS UNIFICADOS9 que ascienden a la suma de 51.000,00 (CINCUENTA Y UN MIL DÓLARES DE LOS ESTADOS UNIDOS DE AMÉRICA) por incurrir en la infracción administrativa tipificada en el artículo 206 de la referida ley, por transgredir lo dispuesto en la Disposición General Primera y el Art. 56 de la Ley de Mercado de Valores Libro 2 del Código Orgánico Monetario y Financiero, al haber realizado una actividad para la cual no se encuentra autorizada por la citada Ley ni por la Junta de Política y Regulación Financiera, esto es administrar valores no inscritos en el Catastro Público del Mercado de Valores.</w:t>
                            </w:r>
                          </w:p>
                          <w:p w:rsidR="00AC02B7" w:rsidRPr="00AC02B7" w:rsidRDefault="00AC02B7" w:rsidP="00AC02B7">
                            <w:pPr>
                              <w:pStyle w:val="Prrafodelista"/>
                              <w:numPr>
                                <w:ilvl w:val="0"/>
                                <w:numId w:val="10"/>
                              </w:numPr>
                              <w:spacing w:after="160" w:line="259" w:lineRule="auto"/>
                              <w:jc w:val="both"/>
                              <w:rPr>
                                <w:b w:val="0"/>
                                <w:sz w:val="22"/>
                                <w:szCs w:val="22"/>
                              </w:rPr>
                            </w:pPr>
                            <w:r w:rsidRPr="00AC02B7">
                              <w:rPr>
                                <w:b w:val="0"/>
                                <w:sz w:val="22"/>
                                <w:szCs w:val="22"/>
                              </w:rPr>
                              <w:t>ORION CASA DE VALORES S.A.: Con Informe No. SCVS.IRQ.DRMV.C.2022.079 de 02 de marzo de 2022, se concluyó que la Casa de Valores se encontraba incursa en la causal de intervención prevista en el numeral 7 del Primer Artículo Innumerado, Segundo Título Innumerado “INTERVENCION DE LA SUPERINTENDENCIA DE COMPAÑIAS, VALORES y SEGUROS A LOS ENTES DEL MERCADO”, a continuación del Art. 222 del Libro 2 “Ley de Mercado de Valores” contenida en el Código Orgánico Monetario y Financiero, toda vez que el señor Luis Alberto González se encuentra vinculado por parte de la Fiscalía General del Estado, a un proceso de investigación previa por el presunto delito de lavado de activos iniciado por la Unidad Especializada de Antilavado de Activos Nro. 3, por lo que este Organismo de Control pudo presumir que hubo un serio problema de índole legal en el que está inmerso el accionista mayoritario que controla la entidad, lo cual puede afectar el normal desenvolvimiento de las actividades de la Casa de Valores, pues el señor Luis Alberto González Aguirre es el accionista del 99.99% de su capital, y actual Presidente de la compañía; considerando además que la Casa de Valores se dedica a la administración de recursos e intermediación bursátil; por lo que, mediante Resolución No. SCVS-IRQ-DRMV-2022-00143 de 15</w:t>
                            </w:r>
                            <w:r>
                              <w:t xml:space="preserve"> </w:t>
                            </w:r>
                            <w:r w:rsidRPr="00AC02B7">
                              <w:rPr>
                                <w:b w:val="0"/>
                                <w:sz w:val="22"/>
                                <w:szCs w:val="22"/>
                              </w:rPr>
                              <w:t>de marzo de 2022, se dispuso la intervención de la compañía; misma que finalizó el 27 de septiembre de 2022, con Resolución No. SCVS-IRQ-DRMV-2022-00006826.</w:t>
                            </w:r>
                          </w:p>
                          <w:p w:rsidR="00AC02B7" w:rsidRPr="00D60D2D" w:rsidRDefault="00AC02B7" w:rsidP="00AC02B7">
                            <w:pPr>
                              <w:pStyle w:val="Prrafodelista"/>
                              <w:numPr>
                                <w:ilvl w:val="0"/>
                                <w:numId w:val="10"/>
                              </w:numPr>
                              <w:spacing w:after="160" w:line="259" w:lineRule="auto"/>
                              <w:jc w:val="both"/>
                              <w:rPr>
                                <w:b w:val="0"/>
                                <w:sz w:val="22"/>
                                <w:szCs w:val="22"/>
                              </w:rPr>
                            </w:pPr>
                            <w:r w:rsidRPr="00AC02B7">
                              <w:rPr>
                                <w:b w:val="0"/>
                                <w:sz w:val="22"/>
                                <w:szCs w:val="22"/>
                              </w:rPr>
                              <w:t>PICAVAL CASA DE VALORES S.A.: La Casa de Valores mantiene aperturada una subcuenta para el cliente NATS CUMCO LLC. en donde reposan Bonos del Estado que serían fruto de una transacción efectuada por ISSPOL, cuyo caso es de</w:t>
                            </w:r>
                            <w:r>
                              <w:t xml:space="preserve"> </w:t>
                            </w:r>
                            <w:r w:rsidRPr="00AC02B7">
                              <w:rPr>
                                <w:b w:val="0"/>
                                <w:sz w:val="22"/>
                                <w:szCs w:val="22"/>
                              </w:rPr>
                              <w:t>conocimiento público. Del control efectuado se ha evidenciado que no existe un mandato con NATS CUMCO</w:t>
                            </w:r>
                            <w:r>
                              <w:t xml:space="preserve"> </w:t>
                            </w:r>
                            <w:r w:rsidRPr="00D60D2D">
                              <w:rPr>
                                <w:b w:val="0"/>
                                <w:sz w:val="22"/>
                                <w:szCs w:val="22"/>
                              </w:rPr>
                              <w:t>LLC para aperturar de la subcuenta como lo manda la norma; por la suscripción del Acuerdo de Administración de GDN’s pues son actividades a realizar que no están previstas en la Ley de Mercado de Valores; se finalizó el proceso de actuaciones previas el 15 de julio de 2022, y mediante Resolución No. SCVS-IRQ-DRMV-2022-00007402 de 20 de octubre de 2022, se sancionó administrativamente a la compañía PICAVAL CASA DE VALORES S.A. con una MULTA de 200 SALARIOS BÁSICOS UNIFICADOS43 que ascienden a la suma de USD 85.000 (OCHENTA Y CINCO MIL DÓLARES DE LOS ESTADOS UNIDOS DE AMÉRICA 00/100), por</w:t>
                            </w:r>
                          </w:p>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05 Cuadro de texto" o:spid="_x0000_s1026" type="#_x0000_t202" style="position:absolute;left:0;text-align:left;margin-left:5.1pt;margin-top:1.5pt;width:458.25pt;height:66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" fillcolor="white [3201]" strokeweight=".5pt">
                <v:textbox>
                  <w:txbxContent>
                    <w:p w:rsidR="00AC02B7" w:rsidRPr="00AC02B7" w:rsidRDefault="00AC02B7" w:rsidP="00AC02B7">
                      <w:pPr>
                        <w:pStyle w:val="Prrafodelista"/>
                        <w:numPr>
                          <w:ilvl w:val="0"/>
                          <w:numId w:val="10"/>
                        </w:numPr>
                        <w:spacing w:after="160" w:line="259" w:lineRule="auto"/>
                        <w:jc w:val="both"/>
                        <w:rPr>
                          <w:b w:val="0"/>
                          <w:sz w:val="22"/>
                          <w:szCs w:val="22"/>
                        </w:rPr>
                      </w:pPr>
                      <w:r w:rsidRPr="00AC02B7">
                        <w:rPr>
                          <w:b w:val="0"/>
                          <w:sz w:val="22"/>
                          <w:szCs w:val="22"/>
                        </w:rPr>
                        <w:t>ORION CASA DE VALORES S.A.: Se finalizó el proceso de actuaciones previas por administrar títulos valores no inscritos en el portafolio de Aseguradora del Sur C.A., el 25 de abril de 2022. Mediante Resolución No. SCVS-IRQ-DRMV-2022-00006010 de 18 de agosto de 2022, se sancionó este hecho con una MULTA de 120 SALARIOS BÁSICOS UNIFICADOS9 que ascienden a la suma de 51.000,00 (CINCUENTA Y UN MIL DÓLARES DE LOS ESTADOS UNIDOS DE AMÉRICA) por incurrir en la infracción administrativa tipificada en el artículo 206 de la referida ley, por transgredir lo dispuesto en la Disposición General Primera y el Art. 56 de la Ley de Mercado de Valores Libro 2 del Código Orgánico Monetario y Financiero, al haber realizado una actividad para la cual no se encuentra autorizada por la citada Ley ni por la Junta de Política y Regulación Financiera, esto es administrar valores no inscritos en el Catastro Público del Mercado de Valores.</w:t>
                      </w:r>
                    </w:p>
                    <w:p w:rsidR="00AC02B7" w:rsidRPr="00AC02B7" w:rsidRDefault="00AC02B7" w:rsidP="00AC02B7">
                      <w:pPr>
                        <w:pStyle w:val="Prrafodelista"/>
                        <w:numPr>
                          <w:ilvl w:val="0"/>
                          <w:numId w:val="10"/>
                        </w:numPr>
                        <w:spacing w:after="160" w:line="259" w:lineRule="auto"/>
                        <w:jc w:val="both"/>
                        <w:rPr>
                          <w:b w:val="0"/>
                          <w:sz w:val="22"/>
                          <w:szCs w:val="22"/>
                        </w:rPr>
                      </w:pPr>
                      <w:r w:rsidRPr="00AC02B7">
                        <w:rPr>
                          <w:b w:val="0"/>
                          <w:sz w:val="22"/>
                          <w:szCs w:val="22"/>
                        </w:rPr>
                        <w:t xml:space="preserve">ORION CASA DE VALORES S.A.: Con Informe No. SCVS.IRQ.DRMV.C.2022.079 de 02 de marzo de 2022, se concluyó que la Casa de Valores se encontraba incursa en la causal de intervención prevista en el numeral 7 del Primer Artículo </w:t>
                      </w:r>
                      <w:proofErr w:type="spellStart"/>
                      <w:r w:rsidRPr="00AC02B7">
                        <w:rPr>
                          <w:b w:val="0"/>
                          <w:sz w:val="22"/>
                          <w:szCs w:val="22"/>
                        </w:rPr>
                        <w:t>Innumerado</w:t>
                      </w:r>
                      <w:proofErr w:type="spellEnd"/>
                      <w:r w:rsidRPr="00AC02B7">
                        <w:rPr>
                          <w:b w:val="0"/>
                          <w:sz w:val="22"/>
                          <w:szCs w:val="22"/>
                        </w:rPr>
                        <w:t xml:space="preserve">, Segundo Título </w:t>
                      </w:r>
                      <w:proofErr w:type="spellStart"/>
                      <w:r w:rsidRPr="00AC02B7">
                        <w:rPr>
                          <w:b w:val="0"/>
                          <w:sz w:val="22"/>
                          <w:szCs w:val="22"/>
                        </w:rPr>
                        <w:t>Innumerado</w:t>
                      </w:r>
                      <w:proofErr w:type="spellEnd"/>
                      <w:r w:rsidRPr="00AC02B7">
                        <w:rPr>
                          <w:b w:val="0"/>
                          <w:sz w:val="22"/>
                          <w:szCs w:val="22"/>
                        </w:rPr>
                        <w:t xml:space="preserve"> “INTERVENCION DE LA SUPERINTENDENCIA DE COMPAÑIAS, VALORES y SEGUROS A LOS ENTES DEL MERCADO”, a continuación del Art. 222 del Libro 2 “Ley de Mercado de Valores” contenida en el Código Orgánico Monetario y Financiero, toda vez que el señor Luis Alberto González se encuentra vinculado por parte de la Fiscalía General del Estado, a un proceso de investigación previa por el presunto delito de lavado de activos iniciado por la Unidad Especializada de </w:t>
                      </w:r>
                      <w:proofErr w:type="spellStart"/>
                      <w:r w:rsidRPr="00AC02B7">
                        <w:rPr>
                          <w:b w:val="0"/>
                          <w:sz w:val="22"/>
                          <w:szCs w:val="22"/>
                        </w:rPr>
                        <w:t>Antilavado</w:t>
                      </w:r>
                      <w:proofErr w:type="spellEnd"/>
                      <w:r w:rsidRPr="00AC02B7">
                        <w:rPr>
                          <w:b w:val="0"/>
                          <w:sz w:val="22"/>
                          <w:szCs w:val="22"/>
                        </w:rPr>
                        <w:t xml:space="preserve"> de Activos Nro. 3, por lo que este Organismo de Control pudo presumir que hubo un serio problema de índole legal en el que está inmerso el accionista mayoritario que controla la entidad, lo cual puede afectar el normal desenvolvimiento de las actividades de la Casa de Valores, pues el señor Luis Alberto González Aguirre es el accionista del 99.99% de su capital, y actual Presidente de la compañía; considerando además que la Casa de Valores se dedica a la administración de recursos e intermediación bursátil; por lo que, mediante Resolución No. SCVS-IRQ-DRMV-2022-00143 de 15</w:t>
                      </w:r>
                      <w:r>
                        <w:t xml:space="preserve"> </w:t>
                      </w:r>
                      <w:r w:rsidRPr="00AC02B7">
                        <w:rPr>
                          <w:b w:val="0"/>
                          <w:sz w:val="22"/>
                          <w:szCs w:val="22"/>
                        </w:rPr>
                        <w:t>de marzo de 2022, se dispuso la intervención de la compañía; misma que finalizó el 27 de septiembre de 2022, con Resolución No. SCVS-IRQ-DRMV-2022-00006826.</w:t>
                      </w:r>
                    </w:p>
                    <w:p w:rsidR="00AC02B7" w:rsidRPr="00D60D2D" w:rsidRDefault="00AC02B7" w:rsidP="00AC02B7">
                      <w:pPr>
                        <w:pStyle w:val="Prrafodelista"/>
                        <w:numPr>
                          <w:ilvl w:val="0"/>
                          <w:numId w:val="10"/>
                        </w:numPr>
                        <w:spacing w:after="160" w:line="259" w:lineRule="auto"/>
                        <w:jc w:val="both"/>
                        <w:rPr>
                          <w:b w:val="0"/>
                          <w:sz w:val="22"/>
                          <w:szCs w:val="22"/>
                        </w:rPr>
                      </w:pPr>
                      <w:r w:rsidRPr="00AC02B7">
                        <w:rPr>
                          <w:b w:val="0"/>
                          <w:sz w:val="22"/>
                          <w:szCs w:val="22"/>
                        </w:rPr>
                        <w:t xml:space="preserve">PICAVAL CASA DE VALORES S.A.: La Casa de Valores mantiene </w:t>
                      </w:r>
                      <w:proofErr w:type="spellStart"/>
                      <w:r w:rsidRPr="00AC02B7">
                        <w:rPr>
                          <w:b w:val="0"/>
                          <w:sz w:val="22"/>
                          <w:szCs w:val="22"/>
                        </w:rPr>
                        <w:t>aperturada</w:t>
                      </w:r>
                      <w:proofErr w:type="spellEnd"/>
                      <w:r w:rsidRPr="00AC02B7">
                        <w:rPr>
                          <w:b w:val="0"/>
                          <w:sz w:val="22"/>
                          <w:szCs w:val="22"/>
                        </w:rPr>
                        <w:t xml:space="preserve"> una subcuenta para el cliente NATS CUMCO LLC. en donde reposan Bonos del Estado que serían fruto de una transacción efectuada por ISSPOL, cuyo caso es de</w:t>
                      </w:r>
                      <w:r>
                        <w:t xml:space="preserve"> </w:t>
                      </w:r>
                      <w:r w:rsidRPr="00AC02B7">
                        <w:rPr>
                          <w:b w:val="0"/>
                          <w:sz w:val="22"/>
                          <w:szCs w:val="22"/>
                        </w:rPr>
                        <w:t>conocimiento público. Del control efectuado se ha evidenciado que no existe un mandato con NATS CUMCO</w:t>
                      </w:r>
                      <w:r>
                        <w:t xml:space="preserve"> </w:t>
                      </w:r>
                      <w:r w:rsidRPr="00D60D2D">
                        <w:rPr>
                          <w:b w:val="0"/>
                          <w:sz w:val="22"/>
                          <w:szCs w:val="22"/>
                        </w:rPr>
                        <w:t xml:space="preserve">LLC para </w:t>
                      </w:r>
                      <w:proofErr w:type="spellStart"/>
                      <w:r w:rsidRPr="00D60D2D">
                        <w:rPr>
                          <w:b w:val="0"/>
                          <w:sz w:val="22"/>
                          <w:szCs w:val="22"/>
                        </w:rPr>
                        <w:t>aperturar</w:t>
                      </w:r>
                      <w:proofErr w:type="spellEnd"/>
                      <w:r w:rsidRPr="00D60D2D">
                        <w:rPr>
                          <w:b w:val="0"/>
                          <w:sz w:val="22"/>
                          <w:szCs w:val="22"/>
                        </w:rPr>
                        <w:t xml:space="preserve"> de la subcuenta como lo manda la norma; por la suscripción del Acuerdo de Administración de </w:t>
                      </w:r>
                      <w:proofErr w:type="spellStart"/>
                      <w:r w:rsidRPr="00D60D2D">
                        <w:rPr>
                          <w:b w:val="0"/>
                          <w:sz w:val="22"/>
                          <w:szCs w:val="22"/>
                        </w:rPr>
                        <w:t>GDN’s</w:t>
                      </w:r>
                      <w:proofErr w:type="spellEnd"/>
                      <w:r w:rsidRPr="00D60D2D">
                        <w:rPr>
                          <w:b w:val="0"/>
                          <w:sz w:val="22"/>
                          <w:szCs w:val="22"/>
                        </w:rPr>
                        <w:t xml:space="preserve"> pues son actividades a realizar que no están previstas en la Ley de Mercado de Valores; se finalizó el proceso de actuaciones previas el 15 de julio de 2022, y mediante Resolución No. SCVS-IRQ-DRMV-2022-00007402 de 20 de octubre de 2022, se sancionó administrativamente a la compañía PICAVAL CASA DE VALORES S.A. con una MULTA de 200 SALARIOS BÁSICOS UNIFICADOS43 que ascienden a la suma de USD 85.000 (OCHENTA Y CINCO MIL DÓLARES DE LOS ESTADOS UNIDOS DE AMÉRICA 00/100), por</w:t>
                      </w:r>
                    </w:p>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txbxContent>
                </v:textbox>
              </v:shape>
            </w:pict>
          </mc:Fallback>
        </mc:AlternateContent>
      </w:r>
    </w:p>
    <w:p w:rsidR="00AC02B7" w:rsidRPr="00692FAD" w:rsidRDefault="00AC02B7" w:rsidP="00AC02B7">
      <w:pPr>
        <w:spacing w:after="0" w:line="360" w:lineRule="auto"/>
        <w:jc w:val="both"/>
        <w:rPr>
          <w:rFonts w:cstheme="minorHAnsi"/>
          <w:lang w:val="es-MX"/>
        </w:rPr>
      </w:pPr>
    </w:p>
    <w:p w:rsidR="00AC02B7" w:rsidRPr="00692FAD" w:rsidRDefault="00AC02B7" w:rsidP="00AC02B7">
      <w:pPr>
        <w:spacing w:after="0" w:line="360" w:lineRule="auto"/>
        <w:jc w:val="both"/>
        <w:rPr>
          <w:rFonts w:cstheme="minorHAnsi"/>
          <w:lang w:val="es-MX"/>
        </w:rPr>
      </w:pPr>
    </w:p>
    <w:p w:rsidR="00AC02B7" w:rsidRPr="00692FAD" w:rsidRDefault="00AC02B7" w:rsidP="00AC02B7">
      <w:pPr>
        <w:spacing w:after="0" w:line="360" w:lineRule="auto"/>
        <w:jc w:val="both"/>
        <w:rPr>
          <w:rFonts w:cstheme="minorHAnsi"/>
          <w:lang w:val="es-MX"/>
        </w:rPr>
      </w:pPr>
    </w:p>
    <w:p w:rsidR="00AC02B7" w:rsidRPr="00692FAD" w:rsidRDefault="00AC02B7" w:rsidP="00AC02B7">
      <w:pPr>
        <w:spacing w:after="0" w:line="360" w:lineRule="auto"/>
        <w:jc w:val="both"/>
        <w:rPr>
          <w:rFonts w:cstheme="minorHAnsi"/>
          <w:lang w:val="es-MX"/>
        </w:rPr>
      </w:pPr>
    </w:p>
    <w:p w:rsidR="00AC02B7" w:rsidRPr="00692FAD" w:rsidRDefault="00AC02B7" w:rsidP="00AC02B7">
      <w:pPr>
        <w:spacing w:after="0" w:line="360" w:lineRule="auto"/>
        <w:jc w:val="both"/>
        <w:rPr>
          <w:rFonts w:cstheme="minorHAnsi"/>
          <w:b/>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D60D2D" w:rsidP="00AC02B7">
      <w:pPr>
        <w:spacing w:after="0" w:line="360" w:lineRule="auto"/>
        <w:jc w:val="both"/>
        <w:rPr>
          <w:rFonts w:cstheme="minorHAnsi"/>
          <w:b/>
          <w:i/>
          <w:lang w:val="es-MX"/>
        </w:rPr>
      </w:pPr>
      <w:r w:rsidRPr="00692FAD">
        <w:rPr>
          <w:rFonts w:cstheme="minorHAnsi"/>
          <w:noProof/>
          <w:lang w:val="es-ES" w:eastAsia="es-ES"/>
        </w:rPr>
        <w:lastRenderedPageBreak/>
        <mc:AlternateContent>
          <mc:Choice Requires="wps">
            <w:drawing>
              <wp:anchor distT="0" distB="0" distL="114300" distR="114300" simplePos="0" relativeHeight="251663360" behindDoc="0" locked="0" layoutInCell="1" allowOverlap="1" wp14:anchorId="1F5298C5" wp14:editId="3EBB7337">
                <wp:simplePos x="0" y="0"/>
                <wp:positionH relativeFrom="column">
                  <wp:posOffset>-46465</wp:posOffset>
                </wp:positionH>
                <wp:positionV relativeFrom="paragraph">
                  <wp:posOffset>-470425</wp:posOffset>
                </wp:positionV>
                <wp:extent cx="5819775" cy="9255319"/>
                <wp:effectExtent l="0" t="0" r="28575" b="22225"/>
                <wp:wrapNone/>
                <wp:docPr id="2" name="2 Cuadro de texto"/>
                <wp:cNvGraphicFramePr/>
                <a:graphic xmlns:a="http://schemas.openxmlformats.org/drawingml/2006/main">
                  <a:graphicData uri="http://schemas.microsoft.com/office/word/2010/wordprocessingShape">
                    <wps:wsp>
                      <wps:cNvSpPr txBox="1"/>
                      <wps:spPr>
                        <a:xfrm>
                          <a:off x="0" y="0"/>
                          <a:ext cx="5819775" cy="92553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C02B7" w:rsidRPr="00D60D2D" w:rsidRDefault="00AC02B7" w:rsidP="00AC02B7">
                            <w:pPr>
                              <w:pStyle w:val="Prrafodelista"/>
                              <w:ind w:left="709"/>
                              <w:jc w:val="both"/>
                              <w:rPr>
                                <w:b w:val="0"/>
                                <w:sz w:val="22"/>
                                <w:szCs w:val="22"/>
                              </w:rPr>
                            </w:pPr>
                            <w:r w:rsidRPr="00D60D2D">
                              <w:rPr>
                                <w:b w:val="0"/>
                                <w:sz w:val="22"/>
                                <w:szCs w:val="22"/>
                              </w:rPr>
                              <w:t>incurrir en la infracción administrativa tipificada en el artículo 206 de la referida Ley, por transgredir la Disposición General Primera y el Art. 56 de la Ley de Mercado de Valores Libro 2 del Código Orgánico Monetario y Financiero al haber realizado una actividad para la cual no está autorizada conforme a la Ley y a la normativa complementaria al desempeñarse como administrador de custodia de GDN’s conforme a los numerales 2, 3 y 14 del “ACUERDO DE SERVICIOS DE ADMINISTRACIÓN DE GDN’S” celebrado entre Picaval Casa de Valores S.A. y Citibank N.A.; Así como por transgredir el Art. 6, Sección III, Capítulo II, Subtítulo IV, Título II de la Codificación de Resoluciones del Consejo Nacional de Valores vigente a la fecha de los hechos al haber ordenado la apertura de la Subcuenta No. 18228 en el Depósito Centralizado de Compensación y Liquidación de Valores del Banco Central del Ecuador sin haber contado con mandato del comitente o propietario del valor.</w:t>
                            </w:r>
                          </w:p>
                          <w:p w:rsidR="00AC02B7" w:rsidRPr="00D60D2D" w:rsidRDefault="00AC02B7" w:rsidP="00AC02B7">
                            <w:pPr>
                              <w:pStyle w:val="Prrafodelista"/>
                              <w:numPr>
                                <w:ilvl w:val="0"/>
                                <w:numId w:val="13"/>
                              </w:numPr>
                              <w:spacing w:after="160" w:line="259" w:lineRule="auto"/>
                              <w:jc w:val="both"/>
                              <w:rPr>
                                <w:b w:val="0"/>
                                <w:sz w:val="22"/>
                                <w:szCs w:val="22"/>
                              </w:rPr>
                            </w:pPr>
                            <w:r w:rsidRPr="00D60D2D">
                              <w:rPr>
                                <w:b w:val="0"/>
                                <w:sz w:val="22"/>
                                <w:szCs w:val="22"/>
                              </w:rPr>
                              <w:t>B&amp;P MASTERTRADE CASA DE VALORES S.A.: Con el Oficio No. 23281-2022-03324-OFICIO-11535-2022 de 22 de julio de 2022, de la Unidad Judicial Penal, del Cantón Santo Domingo, se comunica que la jueza Ab. Julia Leiva Yugsi, ha dispuesto la intervención de 22 compañías, entre ellas, B&amp;P MASTERTRADE CASA DE VALORES S.A.; con Resolución No. SCVS-IRQ-DRMV-2022-00770 de 28 de julio de 2022, se procedió a intervenir a la compañía.</w:t>
                            </w:r>
                          </w:p>
                          <w:p w:rsidR="00AC02B7" w:rsidRPr="00D60D2D" w:rsidRDefault="00AC02B7" w:rsidP="00AC02B7">
                            <w:pPr>
                              <w:pStyle w:val="Prrafodelista"/>
                              <w:numPr>
                                <w:ilvl w:val="0"/>
                                <w:numId w:val="13"/>
                              </w:numPr>
                              <w:spacing w:after="160" w:line="259" w:lineRule="auto"/>
                              <w:jc w:val="both"/>
                              <w:rPr>
                                <w:b w:val="0"/>
                                <w:sz w:val="22"/>
                                <w:szCs w:val="22"/>
                              </w:rPr>
                            </w:pPr>
                            <w:r w:rsidRPr="00D60D2D">
                              <w:rPr>
                                <w:b w:val="0"/>
                                <w:sz w:val="22"/>
                                <w:szCs w:val="22"/>
                              </w:rPr>
                              <w:t>PLASTICSACKS S.A.: Al emisor se le ha iniciado un proceso administrativo sancionador, en virtud de que, luego de haber colocado el 100% de sus valores, efectuó un rescate anticipado del 32% del monto colocado, sin haber cumplido con las consideraciones previstas en el Art. 168 del Libro 2 “Ley de Mercado de Valores” contenido en el Código Orgánico Monetario y Financiero.</w:t>
                            </w:r>
                          </w:p>
                          <w:p w:rsidR="00AC02B7" w:rsidRPr="00D60D2D" w:rsidRDefault="00AC02B7" w:rsidP="00AC02B7">
                            <w:pPr>
                              <w:pStyle w:val="Prrafodelista"/>
                              <w:numPr>
                                <w:ilvl w:val="0"/>
                                <w:numId w:val="13"/>
                              </w:numPr>
                              <w:spacing w:after="160" w:line="259" w:lineRule="auto"/>
                              <w:jc w:val="both"/>
                              <w:rPr>
                                <w:rFonts w:ascii="Calibri" w:eastAsia="Calibri" w:hAnsi="Calibri" w:cs="Calibri"/>
                                <w:b w:val="0"/>
                                <w:sz w:val="22"/>
                                <w:szCs w:val="22"/>
                                <w:lang w:eastAsia="es-EC"/>
                              </w:rPr>
                            </w:pPr>
                            <w:r w:rsidRPr="00D60D2D">
                              <w:rPr>
                                <w:b w:val="0"/>
                                <w:sz w:val="22"/>
                                <w:szCs w:val="22"/>
                              </w:rPr>
                              <w:t xml:space="preserve">MOLSANDO, Molinos Santo Domingo S.A.: Es un emisor que cuenta con una inscripción genérica de facturas comerciales, sus </w:t>
                            </w:r>
                            <w:r w:rsidRPr="00D60D2D">
                              <w:rPr>
                                <w:rFonts w:ascii="Calibri" w:eastAsia="Calibri" w:hAnsi="Calibri" w:cs="Calibri"/>
                                <w:b w:val="0"/>
                                <w:sz w:val="22"/>
                                <w:szCs w:val="22"/>
                                <w:lang w:eastAsia="es-EC"/>
                              </w:rPr>
                              <w:t>principales aceptantes</w:t>
                            </w:r>
                            <w:r>
                              <w:rPr>
                                <w:rFonts w:ascii="Calibri" w:eastAsia="Calibri" w:hAnsi="Calibri" w:cs="Calibri"/>
                                <w:lang w:eastAsia="es-EC"/>
                              </w:rPr>
                              <w:t xml:space="preserve"> </w:t>
                            </w:r>
                            <w:r w:rsidRPr="00D60D2D">
                              <w:rPr>
                                <w:rFonts w:ascii="Calibri" w:eastAsia="Calibri" w:hAnsi="Calibri" w:cs="Calibri"/>
                                <w:b w:val="0"/>
                                <w:sz w:val="22"/>
                                <w:szCs w:val="22"/>
                                <w:lang w:eastAsia="es-EC"/>
                              </w:rPr>
                              <w:t>Asociación Agrícola Los Ríos y Cheval de Semilly Cía. Ltda., se encuentran impagos desde octubre de 2022, convirtiendo al emisor en responsable solidario en el pago. Se han adoptado medidas administrativas de control como la suspensión de la inscripción en el Catastro Público de Mercado de Valores del emisor y el valor genérico.</w:t>
                            </w:r>
                          </w:p>
                          <w:p w:rsidR="009417EA" w:rsidRDefault="009417EA" w:rsidP="009417EA">
                            <w:pPr>
                              <w:pStyle w:val="Prrafodelista"/>
                              <w:numPr>
                                <w:ilvl w:val="0"/>
                                <w:numId w:val="0"/>
                              </w:numPr>
                              <w:spacing w:after="160" w:line="259" w:lineRule="auto"/>
                              <w:ind w:left="720"/>
                              <w:jc w:val="both"/>
                              <w:rPr>
                                <w:rFonts w:ascii="Calibri" w:eastAsia="Calibri" w:hAnsi="Calibri" w:cs="Calibri"/>
                                <w:b w:val="0"/>
                                <w:sz w:val="22"/>
                                <w:szCs w:val="22"/>
                                <w:lang w:eastAsia="es-EC"/>
                              </w:rPr>
                            </w:pPr>
                          </w:p>
                          <w:p w:rsidR="00AC02B7" w:rsidRPr="00D60D2D" w:rsidRDefault="00AC02B7" w:rsidP="009417EA">
                            <w:pPr>
                              <w:pStyle w:val="Prrafodelista"/>
                              <w:numPr>
                                <w:ilvl w:val="0"/>
                                <w:numId w:val="0"/>
                              </w:numPr>
                              <w:spacing w:after="160" w:line="259" w:lineRule="auto"/>
                              <w:ind w:left="720"/>
                              <w:jc w:val="both"/>
                              <w:rPr>
                                <w:rFonts w:ascii="Calibri" w:eastAsia="Calibri" w:hAnsi="Calibri" w:cs="Calibri"/>
                                <w:b w:val="0"/>
                                <w:sz w:val="22"/>
                                <w:szCs w:val="22"/>
                                <w:lang w:eastAsia="es-EC"/>
                              </w:rPr>
                            </w:pPr>
                            <w:r w:rsidRPr="009417EA">
                              <w:rPr>
                                <w:rFonts w:ascii="Calibri" w:eastAsia="Calibri" w:hAnsi="Calibri" w:cs="Calibri"/>
                                <w:b w:val="0"/>
                                <w:sz w:val="22"/>
                                <w:szCs w:val="22"/>
                                <w:lang w:eastAsia="es-EC"/>
                              </w:rPr>
                              <w:t>Actualmente, el emisor se encuentra intervenido y del plan de trabajo que presente el interventor, con la información que esta Institución ha recopilado en el marco del proceso de control, de ser el caso, se iniciarán actuaciones previas.</w:t>
                            </w:r>
                          </w:p>
                          <w:p w:rsidR="00AC02B7" w:rsidRPr="00D60D2D" w:rsidRDefault="00AC02B7" w:rsidP="00AC02B7">
                            <w:pPr>
                              <w:pStyle w:val="Prrafodelista"/>
                              <w:numPr>
                                <w:ilvl w:val="0"/>
                                <w:numId w:val="13"/>
                              </w:numPr>
                              <w:spacing w:after="160" w:line="259" w:lineRule="auto"/>
                              <w:jc w:val="both"/>
                              <w:rPr>
                                <w:b w:val="0"/>
                                <w:sz w:val="22"/>
                                <w:szCs w:val="22"/>
                              </w:rPr>
                            </w:pPr>
                            <w:r w:rsidRPr="00D60D2D">
                              <w:rPr>
                                <w:b w:val="0"/>
                                <w:sz w:val="22"/>
                                <w:szCs w:val="22"/>
                              </w:rPr>
                              <w:t>NUOTECNOLÓGICA Cía. Ltda.: Es un emisor de valores al cual como parte de las medidas de control, se le suspendió su inscripción en el Catastro Público de Mercado de Valores al emisor y a la emisión de obligaciones de largo, por el lapso de 30 días, por el retraso que presentó en  el pago de la cuarta cuota; el emisor subsanó el impago y al momento se ha adoptado un proceso de control de oficio a las cuentas financieras, a fin de evidenciar que procesos similares no se vuelvan a generar.</w:t>
                            </w:r>
                          </w:p>
                          <w:p w:rsidR="00AC02B7" w:rsidRPr="00D60D2D" w:rsidRDefault="00AC02B7" w:rsidP="00AC02B7">
                            <w:pPr>
                              <w:pStyle w:val="Prrafodelista"/>
                              <w:numPr>
                                <w:ilvl w:val="0"/>
                                <w:numId w:val="13"/>
                              </w:numPr>
                              <w:spacing w:after="160" w:line="259" w:lineRule="auto"/>
                              <w:jc w:val="both"/>
                              <w:rPr>
                                <w:b w:val="0"/>
                                <w:sz w:val="22"/>
                                <w:szCs w:val="22"/>
                              </w:rPr>
                            </w:pPr>
                            <w:r w:rsidRPr="00D60D2D">
                              <w:rPr>
                                <w:b w:val="0"/>
                                <w:sz w:val="22"/>
                                <w:szCs w:val="22"/>
                              </w:rPr>
                              <w:t>IMPORTADORA VEGA S.A. Es un emisor de valores al cual como parte de las medidas de control, se le suspendió su inscripción en el Catastro Público de</w:t>
                            </w:r>
                            <w:r>
                              <w:t xml:space="preserve"> </w:t>
                            </w:r>
                            <w:r w:rsidRPr="00D60D2D">
                              <w:rPr>
                                <w:b w:val="0"/>
                                <w:sz w:val="22"/>
                                <w:szCs w:val="22"/>
                              </w:rPr>
                              <w:t>Mercado de Valores a la emisión de obligaciones de corto plazo, por el lapso de 30 días, por el retraso que presentó en  el pago de uno de los vencimientos acaecidos en septiembre de 2022; el emisor subsanó el impago y al momento se ha adoptado un proceso de control de oficio a las cuentas financieras, a fin de evidenciar que procesos similares no se vuelvan a generar.</w:t>
                            </w:r>
                          </w:p>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 Cuadro de texto" o:spid="_x0000_s1027" type="#_x0000_t202" style="position:absolute;left:0;text-align:left;margin-left:-3.65pt;margin-top:-37.05pt;width:458.25pt;height:72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" fillcolor="white [3201]" strokeweight=".5pt">
                <v:textbox>
                  <w:txbxContent>
                    <w:p w:rsidR="00AC02B7" w:rsidRPr="00D60D2D" w:rsidRDefault="00AC02B7" w:rsidP="00AC02B7">
                      <w:pPr>
                        <w:pStyle w:val="Prrafodelista"/>
                        <w:ind w:left="709"/>
                        <w:jc w:val="both"/>
                        <w:rPr>
                          <w:b w:val="0"/>
                          <w:sz w:val="22"/>
                          <w:szCs w:val="22"/>
                        </w:rPr>
                      </w:pPr>
                      <w:r w:rsidRPr="00D60D2D">
                        <w:rPr>
                          <w:b w:val="0"/>
                          <w:sz w:val="22"/>
                          <w:szCs w:val="22"/>
                        </w:rPr>
                        <w:t xml:space="preserve">incurrir en la infracción administrativa tipificada en el artículo 206 de la referida Ley, por transgredir la Disposición General Primera y el Art. 56 de la Ley de Mercado de Valores Libro 2 del Código Orgánico Monetario y Financiero al haber realizado una actividad para la cual no está autorizada conforme a la Ley y a la normativa complementaria al desempeñarse como administrador de custodia de </w:t>
                      </w:r>
                      <w:proofErr w:type="spellStart"/>
                      <w:r w:rsidRPr="00D60D2D">
                        <w:rPr>
                          <w:b w:val="0"/>
                          <w:sz w:val="22"/>
                          <w:szCs w:val="22"/>
                        </w:rPr>
                        <w:t>GDN’s</w:t>
                      </w:r>
                      <w:proofErr w:type="spellEnd"/>
                      <w:r w:rsidRPr="00D60D2D">
                        <w:rPr>
                          <w:b w:val="0"/>
                          <w:sz w:val="22"/>
                          <w:szCs w:val="22"/>
                        </w:rPr>
                        <w:t xml:space="preserve"> conforme a los numerales 2, 3 y 14 del “ACUERDO DE SERVICIOS DE ADMINISTRACIÓN DE GDN’S” celebrado entre </w:t>
                      </w:r>
                      <w:proofErr w:type="spellStart"/>
                      <w:r w:rsidRPr="00D60D2D">
                        <w:rPr>
                          <w:b w:val="0"/>
                          <w:sz w:val="22"/>
                          <w:szCs w:val="22"/>
                        </w:rPr>
                        <w:t>Picaval</w:t>
                      </w:r>
                      <w:proofErr w:type="spellEnd"/>
                      <w:r w:rsidRPr="00D60D2D">
                        <w:rPr>
                          <w:b w:val="0"/>
                          <w:sz w:val="22"/>
                          <w:szCs w:val="22"/>
                        </w:rPr>
                        <w:t xml:space="preserve"> Casa de Valores S.A. y </w:t>
                      </w:r>
                      <w:proofErr w:type="spellStart"/>
                      <w:r w:rsidRPr="00D60D2D">
                        <w:rPr>
                          <w:b w:val="0"/>
                          <w:sz w:val="22"/>
                          <w:szCs w:val="22"/>
                        </w:rPr>
                        <w:t>Citibank</w:t>
                      </w:r>
                      <w:proofErr w:type="spellEnd"/>
                      <w:r w:rsidRPr="00D60D2D">
                        <w:rPr>
                          <w:b w:val="0"/>
                          <w:sz w:val="22"/>
                          <w:szCs w:val="22"/>
                        </w:rPr>
                        <w:t xml:space="preserve"> N.A.; Así como por transgredir el Art. 6, Sección III, Capítulo II, Subtítulo IV, Título II de la Codificación de Resoluciones del Consejo Nacional de Valores vigente a la fecha de los hechos al haber ordenado la apertura de la Subcuenta No. 18228 en el Depósito Centralizado de Compensación y Liquidación de Valores del Banco Central del Ecuador sin haber contado con mandato del comitente o propietario del valor.</w:t>
                      </w:r>
                    </w:p>
                    <w:p w:rsidR="00AC02B7" w:rsidRPr="00D60D2D" w:rsidRDefault="00AC02B7" w:rsidP="00AC02B7">
                      <w:pPr>
                        <w:pStyle w:val="Prrafodelista"/>
                        <w:numPr>
                          <w:ilvl w:val="0"/>
                          <w:numId w:val="13"/>
                        </w:numPr>
                        <w:spacing w:after="160" w:line="259" w:lineRule="auto"/>
                        <w:jc w:val="both"/>
                        <w:rPr>
                          <w:b w:val="0"/>
                          <w:sz w:val="22"/>
                          <w:szCs w:val="22"/>
                        </w:rPr>
                      </w:pPr>
                      <w:r w:rsidRPr="00D60D2D">
                        <w:rPr>
                          <w:b w:val="0"/>
                          <w:sz w:val="22"/>
                          <w:szCs w:val="22"/>
                        </w:rPr>
                        <w:t xml:space="preserve">B&amp;P MASTERTRADE CASA DE VALORES S.A.: Con el Oficio No. 23281-2022-03324-OFICIO-11535-2022 de 22 de julio de 2022, de la Unidad Judicial Penal, del Cantón Santo Domingo, se comunica que la jueza Ab. Julia Leiva </w:t>
                      </w:r>
                      <w:proofErr w:type="spellStart"/>
                      <w:r w:rsidRPr="00D60D2D">
                        <w:rPr>
                          <w:b w:val="0"/>
                          <w:sz w:val="22"/>
                          <w:szCs w:val="22"/>
                        </w:rPr>
                        <w:t>Yugsi</w:t>
                      </w:r>
                      <w:proofErr w:type="spellEnd"/>
                      <w:r w:rsidRPr="00D60D2D">
                        <w:rPr>
                          <w:b w:val="0"/>
                          <w:sz w:val="22"/>
                          <w:szCs w:val="22"/>
                        </w:rPr>
                        <w:t>, ha dispuesto la intervención de 22 compañías, entre ellas, B&amp;P MASTERTRADE CASA DE VALORES S.A.; con Resolución No. SCVS-IRQ-DRMV-2022-00770 de 28 de julio de 2022, se procedió a intervenir a la compañía.</w:t>
                      </w:r>
                    </w:p>
                    <w:p w:rsidR="00AC02B7" w:rsidRPr="00D60D2D" w:rsidRDefault="00AC02B7" w:rsidP="00AC02B7">
                      <w:pPr>
                        <w:pStyle w:val="Prrafodelista"/>
                        <w:numPr>
                          <w:ilvl w:val="0"/>
                          <w:numId w:val="13"/>
                        </w:numPr>
                        <w:spacing w:after="160" w:line="259" w:lineRule="auto"/>
                        <w:jc w:val="both"/>
                        <w:rPr>
                          <w:b w:val="0"/>
                          <w:sz w:val="22"/>
                          <w:szCs w:val="22"/>
                        </w:rPr>
                      </w:pPr>
                      <w:r w:rsidRPr="00D60D2D">
                        <w:rPr>
                          <w:b w:val="0"/>
                          <w:sz w:val="22"/>
                          <w:szCs w:val="22"/>
                        </w:rPr>
                        <w:t>PLASTICSACKS S.A.: Al emisor se le ha iniciado un proceso administrativo sancionador, en virtud de que, luego de haber colocado el 100% de sus valores, efectuó un rescate anticipado del 32% del monto colocado, sin haber cumplido con las consideraciones previstas en el Art. 168 del Libro 2 “Ley de Mercado de Valores” contenido en el Código Orgánico Monetario y Financiero.</w:t>
                      </w:r>
                    </w:p>
                    <w:p w:rsidR="00AC02B7" w:rsidRPr="00D60D2D" w:rsidRDefault="00AC02B7" w:rsidP="00AC02B7">
                      <w:pPr>
                        <w:pStyle w:val="Prrafodelista"/>
                        <w:numPr>
                          <w:ilvl w:val="0"/>
                          <w:numId w:val="13"/>
                        </w:numPr>
                        <w:spacing w:after="160" w:line="259" w:lineRule="auto"/>
                        <w:jc w:val="both"/>
                        <w:rPr>
                          <w:rFonts w:ascii="Calibri" w:eastAsia="Calibri" w:hAnsi="Calibri" w:cs="Calibri"/>
                          <w:b w:val="0"/>
                          <w:sz w:val="22"/>
                          <w:szCs w:val="22"/>
                          <w:lang w:eastAsia="es-EC"/>
                        </w:rPr>
                      </w:pPr>
                      <w:r w:rsidRPr="00D60D2D">
                        <w:rPr>
                          <w:b w:val="0"/>
                          <w:sz w:val="22"/>
                          <w:szCs w:val="22"/>
                        </w:rPr>
                        <w:t xml:space="preserve">MOLSANDO, Molinos Santo Domingo S.A.: Es un emisor que cuenta con una inscripción genérica de facturas comerciales, sus </w:t>
                      </w:r>
                      <w:r w:rsidRPr="00D60D2D">
                        <w:rPr>
                          <w:rFonts w:ascii="Calibri" w:eastAsia="Calibri" w:hAnsi="Calibri" w:cs="Calibri"/>
                          <w:b w:val="0"/>
                          <w:sz w:val="22"/>
                          <w:szCs w:val="22"/>
                          <w:lang w:eastAsia="es-EC"/>
                        </w:rPr>
                        <w:t>principales aceptantes</w:t>
                      </w:r>
                      <w:r>
                        <w:rPr>
                          <w:rFonts w:ascii="Calibri" w:eastAsia="Calibri" w:hAnsi="Calibri" w:cs="Calibri"/>
                          <w:lang w:eastAsia="es-EC"/>
                        </w:rPr>
                        <w:t xml:space="preserve"> </w:t>
                      </w:r>
                      <w:r w:rsidRPr="00D60D2D">
                        <w:rPr>
                          <w:rFonts w:ascii="Calibri" w:eastAsia="Calibri" w:hAnsi="Calibri" w:cs="Calibri"/>
                          <w:b w:val="0"/>
                          <w:sz w:val="22"/>
                          <w:szCs w:val="22"/>
                          <w:lang w:eastAsia="es-EC"/>
                        </w:rPr>
                        <w:t xml:space="preserve">Asociación Agrícola Los Ríos y </w:t>
                      </w:r>
                      <w:proofErr w:type="spellStart"/>
                      <w:r w:rsidRPr="00D60D2D">
                        <w:rPr>
                          <w:rFonts w:ascii="Calibri" w:eastAsia="Calibri" w:hAnsi="Calibri" w:cs="Calibri"/>
                          <w:b w:val="0"/>
                          <w:sz w:val="22"/>
                          <w:szCs w:val="22"/>
                          <w:lang w:eastAsia="es-EC"/>
                        </w:rPr>
                        <w:t>Cheval</w:t>
                      </w:r>
                      <w:proofErr w:type="spellEnd"/>
                      <w:r w:rsidRPr="00D60D2D">
                        <w:rPr>
                          <w:rFonts w:ascii="Calibri" w:eastAsia="Calibri" w:hAnsi="Calibri" w:cs="Calibri"/>
                          <w:b w:val="0"/>
                          <w:sz w:val="22"/>
                          <w:szCs w:val="22"/>
                          <w:lang w:eastAsia="es-EC"/>
                        </w:rPr>
                        <w:t xml:space="preserve"> de </w:t>
                      </w:r>
                      <w:proofErr w:type="spellStart"/>
                      <w:r w:rsidRPr="00D60D2D">
                        <w:rPr>
                          <w:rFonts w:ascii="Calibri" w:eastAsia="Calibri" w:hAnsi="Calibri" w:cs="Calibri"/>
                          <w:b w:val="0"/>
                          <w:sz w:val="22"/>
                          <w:szCs w:val="22"/>
                          <w:lang w:eastAsia="es-EC"/>
                        </w:rPr>
                        <w:t>Semilly</w:t>
                      </w:r>
                      <w:proofErr w:type="spellEnd"/>
                      <w:r w:rsidRPr="00D60D2D">
                        <w:rPr>
                          <w:rFonts w:ascii="Calibri" w:eastAsia="Calibri" w:hAnsi="Calibri" w:cs="Calibri"/>
                          <w:b w:val="0"/>
                          <w:sz w:val="22"/>
                          <w:szCs w:val="22"/>
                          <w:lang w:eastAsia="es-EC"/>
                        </w:rPr>
                        <w:t xml:space="preserve"> Cía. Ltda., se encuentran impagos desde octubre de 2022, convirtiendo al emisor en responsable solidario en el pago. Se han adoptado medidas administrativas de control como la suspensión de la inscripción en el Catastro Público de Mercado de Valores del emisor y el valor genérico.</w:t>
                      </w:r>
                    </w:p>
                    <w:p w:rsidR="009417EA" w:rsidRDefault="009417EA" w:rsidP="009417EA">
                      <w:pPr>
                        <w:pStyle w:val="Prrafodelista"/>
                        <w:numPr>
                          <w:ilvl w:val="0"/>
                          <w:numId w:val="0"/>
                        </w:numPr>
                        <w:spacing w:after="160" w:line="259" w:lineRule="auto"/>
                        <w:ind w:left="720"/>
                        <w:jc w:val="both"/>
                        <w:rPr>
                          <w:rFonts w:ascii="Calibri" w:eastAsia="Calibri" w:hAnsi="Calibri" w:cs="Calibri"/>
                          <w:b w:val="0"/>
                          <w:sz w:val="22"/>
                          <w:szCs w:val="22"/>
                          <w:lang w:eastAsia="es-EC"/>
                        </w:rPr>
                      </w:pPr>
                    </w:p>
                    <w:p w:rsidR="00AC02B7" w:rsidRPr="00D60D2D" w:rsidRDefault="00AC02B7" w:rsidP="009417EA">
                      <w:pPr>
                        <w:pStyle w:val="Prrafodelista"/>
                        <w:numPr>
                          <w:ilvl w:val="0"/>
                          <w:numId w:val="0"/>
                        </w:numPr>
                        <w:spacing w:after="160" w:line="259" w:lineRule="auto"/>
                        <w:ind w:left="720"/>
                        <w:jc w:val="both"/>
                        <w:rPr>
                          <w:rFonts w:ascii="Calibri" w:eastAsia="Calibri" w:hAnsi="Calibri" w:cs="Calibri"/>
                          <w:b w:val="0"/>
                          <w:sz w:val="22"/>
                          <w:szCs w:val="22"/>
                          <w:lang w:eastAsia="es-EC"/>
                        </w:rPr>
                      </w:pPr>
                      <w:r w:rsidRPr="009417EA">
                        <w:rPr>
                          <w:rFonts w:ascii="Calibri" w:eastAsia="Calibri" w:hAnsi="Calibri" w:cs="Calibri"/>
                          <w:b w:val="0"/>
                          <w:sz w:val="22"/>
                          <w:szCs w:val="22"/>
                          <w:lang w:eastAsia="es-EC"/>
                        </w:rPr>
                        <w:t>Actualmente, el emisor se encuentra intervenido y del plan de trabajo que presente el interventor, con la información que esta Institución ha recopilado en el marco del proceso de control, de ser el caso, se iniciarán actuaciones previas.</w:t>
                      </w:r>
                    </w:p>
                    <w:p w:rsidR="00AC02B7" w:rsidRPr="00D60D2D" w:rsidRDefault="00AC02B7" w:rsidP="00AC02B7">
                      <w:pPr>
                        <w:pStyle w:val="Prrafodelista"/>
                        <w:numPr>
                          <w:ilvl w:val="0"/>
                          <w:numId w:val="13"/>
                        </w:numPr>
                        <w:spacing w:after="160" w:line="259" w:lineRule="auto"/>
                        <w:jc w:val="both"/>
                        <w:rPr>
                          <w:b w:val="0"/>
                          <w:sz w:val="22"/>
                          <w:szCs w:val="22"/>
                        </w:rPr>
                      </w:pPr>
                      <w:r w:rsidRPr="00D60D2D">
                        <w:rPr>
                          <w:b w:val="0"/>
                          <w:sz w:val="22"/>
                          <w:szCs w:val="22"/>
                        </w:rPr>
                        <w:t>NUOTECNOLÓGICA Cía. Ltda.: Es un emisor de valores al cual como parte de las medidas de control, se le suspendió su inscripción en el Catastro Público de Mercado de Valores al emisor y a la emisión de obligaciones de largo, por el lapso de 30 días, por el retraso que presentó en  el pago de la cuarta cuota; el emisor subsanó el impago y al momento se ha adoptado un proceso de control de oficio a las cuentas financieras, a fin de evidenciar que procesos similares no se vuelvan a generar.</w:t>
                      </w:r>
                    </w:p>
                    <w:p w:rsidR="00AC02B7" w:rsidRPr="00D60D2D" w:rsidRDefault="00AC02B7" w:rsidP="00AC02B7">
                      <w:pPr>
                        <w:pStyle w:val="Prrafodelista"/>
                        <w:numPr>
                          <w:ilvl w:val="0"/>
                          <w:numId w:val="13"/>
                        </w:numPr>
                        <w:spacing w:after="160" w:line="259" w:lineRule="auto"/>
                        <w:jc w:val="both"/>
                        <w:rPr>
                          <w:b w:val="0"/>
                          <w:sz w:val="22"/>
                          <w:szCs w:val="22"/>
                        </w:rPr>
                      </w:pPr>
                      <w:r w:rsidRPr="00D60D2D">
                        <w:rPr>
                          <w:b w:val="0"/>
                          <w:sz w:val="22"/>
                          <w:szCs w:val="22"/>
                        </w:rPr>
                        <w:t>IMPORTADORA VEGA S.A. Es un emisor de valores al cual como parte de las medidas de control, se le suspendió su inscripción en el Catastro Público de</w:t>
                      </w:r>
                      <w:r>
                        <w:t xml:space="preserve"> </w:t>
                      </w:r>
                      <w:r w:rsidRPr="00D60D2D">
                        <w:rPr>
                          <w:b w:val="0"/>
                          <w:sz w:val="22"/>
                          <w:szCs w:val="22"/>
                        </w:rPr>
                        <w:t>Mercado de Valores a la emisión de obligaciones de corto plazo, por el lapso de 30 días, por el retraso que presentó en  el pago de uno de los vencimientos acaecidos en septiembre de 2022; el emisor subsanó el impago y al momento se ha adoptado un proceso de control de oficio a las cuentas financieras, a fin de evidenciar que procesos similares no se vuelvan a generar.</w:t>
                      </w:r>
                    </w:p>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txbxContent>
                </v:textbox>
              </v:shape>
            </w:pict>
          </mc:Fallback>
        </mc:AlternateContent>
      </w: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D60D2D" w:rsidRPr="00692FAD" w:rsidRDefault="00D60D2D" w:rsidP="00AC02B7">
      <w:pPr>
        <w:spacing w:after="0" w:line="360" w:lineRule="auto"/>
        <w:jc w:val="both"/>
        <w:rPr>
          <w:rFonts w:cstheme="minorHAnsi"/>
          <w:b/>
          <w:i/>
          <w:lang w:val="es-MX"/>
        </w:rPr>
      </w:pPr>
    </w:p>
    <w:p w:rsidR="00AC02B7" w:rsidRPr="00692FAD" w:rsidRDefault="00D60D2D" w:rsidP="00AC02B7">
      <w:pPr>
        <w:spacing w:after="0" w:line="360" w:lineRule="auto"/>
        <w:jc w:val="both"/>
        <w:rPr>
          <w:rFonts w:cstheme="minorHAnsi"/>
          <w:b/>
          <w:i/>
          <w:lang w:val="es-MX"/>
        </w:rPr>
      </w:pPr>
      <w:r w:rsidRPr="00692FAD">
        <w:rPr>
          <w:rFonts w:cstheme="minorHAnsi"/>
          <w:noProof/>
          <w:lang w:val="es-ES" w:eastAsia="es-ES"/>
        </w:rPr>
        <w:lastRenderedPageBreak/>
        <mc:AlternateContent>
          <mc:Choice Requires="wps">
            <w:drawing>
              <wp:anchor distT="0" distB="0" distL="114300" distR="114300" simplePos="0" relativeHeight="251664384" behindDoc="0" locked="0" layoutInCell="1" allowOverlap="1" wp14:anchorId="383FE0EB" wp14:editId="05A46C58">
                <wp:simplePos x="0" y="0"/>
                <wp:positionH relativeFrom="column">
                  <wp:posOffset>25096</wp:posOffset>
                </wp:positionH>
                <wp:positionV relativeFrom="paragraph">
                  <wp:posOffset>181582</wp:posOffset>
                </wp:positionV>
                <wp:extent cx="5819775" cy="8515847"/>
                <wp:effectExtent l="0" t="0" r="28575" b="19050"/>
                <wp:wrapNone/>
                <wp:docPr id="4" name="4 Cuadro de texto"/>
                <wp:cNvGraphicFramePr/>
                <a:graphic xmlns:a="http://schemas.openxmlformats.org/drawingml/2006/main">
                  <a:graphicData uri="http://schemas.microsoft.com/office/word/2010/wordprocessingShape">
                    <wps:wsp>
                      <wps:cNvSpPr txBox="1"/>
                      <wps:spPr>
                        <a:xfrm>
                          <a:off x="0" y="0"/>
                          <a:ext cx="5819775" cy="851584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C02B7" w:rsidRPr="00D60D2D" w:rsidRDefault="00AC02B7" w:rsidP="00AC02B7">
                            <w:pPr>
                              <w:pStyle w:val="Prrafodelista"/>
                              <w:numPr>
                                <w:ilvl w:val="0"/>
                                <w:numId w:val="14"/>
                              </w:numPr>
                              <w:spacing w:after="160" w:line="259" w:lineRule="auto"/>
                              <w:jc w:val="both"/>
                              <w:rPr>
                                <w:b w:val="0"/>
                                <w:sz w:val="22"/>
                                <w:szCs w:val="22"/>
                              </w:rPr>
                            </w:pPr>
                            <w:r w:rsidRPr="00D60D2D">
                              <w:rPr>
                                <w:b w:val="0"/>
                                <w:sz w:val="22"/>
                                <w:szCs w:val="22"/>
                                <w:lang w:val="en-US"/>
                              </w:rPr>
                              <w:t xml:space="preserve">MOBO LAW CHERREZ &amp; PROAÑO CÍA. </w:t>
                            </w:r>
                            <w:r w:rsidRPr="00D60D2D">
                              <w:rPr>
                                <w:b w:val="0"/>
                                <w:sz w:val="22"/>
                                <w:szCs w:val="22"/>
                              </w:rPr>
                              <w:t>LTDA.: Informe No. SCVS.IRQ.DRMV.C.2022.422: En análisis jurídico de Fiscalización, Consultas y Desarrollo Normativo, para pertinencia de inicio de proceso administrativo sancionador del proceso de actuaciones previas iniciado el 14 de septiembre de 2022 con Oficio No. SCVS-IRQ-DRMV-2022-00054549-O, se concluye lo siguiente:</w:t>
                            </w:r>
                          </w:p>
                          <w:p w:rsidR="00AC02B7" w:rsidRPr="00D60D2D" w:rsidRDefault="00AC02B7" w:rsidP="00AC02B7">
                            <w:pPr>
                              <w:ind w:left="709"/>
                              <w:jc w:val="both"/>
                            </w:pPr>
                            <w:r w:rsidRPr="00D60D2D">
                              <w:t>a) No  se evidencia  que la compañía,  en su calidad de Representante de los Obligacionistas, efectúo gestiones previas al vencimiento, a fin de evitar el retraso en el pago de cupones de capital e intereses, acaecido el 1 de febrero de 2021; tales como: verificar la provisión de fondos y estado de las garantías de la emisión, comprobando la existencia y el valor de los bienes afectados, y/o solicitar la conformación de un fondo de amortización en caso de un riesgo razonable de no pago.</w:t>
                            </w:r>
                          </w:p>
                          <w:p w:rsidR="00AC02B7" w:rsidRPr="00D60D2D" w:rsidRDefault="00AC02B7" w:rsidP="00AC02B7">
                            <w:pPr>
                              <w:ind w:left="709"/>
                              <w:jc w:val="both"/>
                            </w:pPr>
                            <w:r w:rsidRPr="00D60D2D">
                              <w:t>b) No realizó las gestiones pertinentes de seguimiento para que el acuerdo de reestructuración de pagos del 13 de agosto de 2021, sea aprobado por la Superintendencia de Compañías, Valores y Seguros.</w:t>
                            </w:r>
                          </w:p>
                          <w:p w:rsidR="00AC02B7" w:rsidRPr="00D60D2D" w:rsidRDefault="00AC02B7" w:rsidP="00AC02B7">
                            <w:pPr>
                              <w:ind w:left="709"/>
                              <w:jc w:val="both"/>
                            </w:pPr>
                            <w:r w:rsidRPr="00D60D2D">
                              <w:t>c) No remitió información relacionada con las acciones previas y posteriores al 1 de febrero de 2022, que evidencien su gestión para que no se materialice un nuevo incumplimiento de los pagos a los inversionistas.</w:t>
                            </w:r>
                          </w:p>
                          <w:p w:rsidR="00AC02B7" w:rsidRPr="00D60D2D" w:rsidRDefault="00AC02B7" w:rsidP="00AC02B7">
                            <w:pPr>
                              <w:ind w:left="709"/>
                              <w:jc w:val="both"/>
                            </w:pPr>
                            <w:r w:rsidRPr="00D60D2D">
                              <w:t>d) No remitió documentación que avale el cumplimiento de su deber de información a esta Institución y a la Calificadora de Riesgos, sobre el incumplimiento por parte del emisor, de las cláusulas del contrato de emisión y de sus obligaciones, por la cancelación de los cupones de los vencimientos al 1 de febrero, 1 de mayo y 1 de agosto de 2021; y, 1 de febrero de 2022, en forma y plazos distintos a los acordados.</w:t>
                            </w:r>
                          </w:p>
                          <w:p w:rsidR="00AC02B7" w:rsidRPr="00D60D2D" w:rsidRDefault="00AC02B7" w:rsidP="00AC02B7">
                            <w:pPr>
                              <w:ind w:left="709"/>
                              <w:jc w:val="both"/>
                            </w:pPr>
                            <w:r w:rsidRPr="00D60D2D">
                              <w:t>e) El informe de gestión con corte al 31 de agosto de 2021, relacionado con la emisión de obligaciones de largo plazo de CONSTRUCTORA DE DISEÑOS PRODUCTIVOS CONSTRUDIPRO S.A. autorizada con Resolución No. SCVS.INMV.DNAR.2018.00000713 del 23 de enero de 2018, 2021, fue cargado en el Sistema Integrado de Mercado de Valores (SIMV) el 21 de enero de 2022, es decir, de manera extemporánea y con 116 días de retraso y no cumple con los requisitos mínimos de contenido establecidos en la norma pertinente.</w:t>
                            </w:r>
                          </w:p>
                          <w:p w:rsidR="00AC02B7" w:rsidRPr="00D60D2D" w:rsidRDefault="00AC02B7" w:rsidP="00AC02B7">
                            <w:pPr>
                              <w:pStyle w:val="Prrafodelista"/>
                              <w:numPr>
                                <w:ilvl w:val="0"/>
                                <w:numId w:val="14"/>
                              </w:numPr>
                              <w:spacing w:after="160" w:line="259" w:lineRule="auto"/>
                              <w:jc w:val="both"/>
                              <w:rPr>
                                <w:rFonts w:cstheme="minorHAnsi"/>
                                <w:b w:val="0"/>
                                <w:sz w:val="22"/>
                                <w:szCs w:val="22"/>
                              </w:rPr>
                            </w:pPr>
                            <w:r w:rsidRPr="00D60D2D">
                              <w:rPr>
                                <w:b w:val="0"/>
                                <w:sz w:val="22"/>
                                <w:szCs w:val="22"/>
                              </w:rPr>
                              <w:t>DCV-BCE: Mediante Oficio No. SCVS-DSC-2022-00062616-O de 24 de octubre de 2022, el Superintendente de Compañías, Valores y Seguros dispuso al Depósito Centralizado de Compensación y Liquidación de Valores del Banco Central del Ecuador, en adelante, DCV-BCE que de manera inmediata adopte las medidas correctivas y de saneamiento orientadas a corregir el registro o inscripción contable de los valores, dentro del sistema de anotación en cuenta signada con No. 18228 de NATS CUMCO LLC. de las 26 operaciones bursátiles que motivaron la Resolución Administrativa Sancionadora No. SCVS.IRQ.DRMV.-2021-00005677, de fecha 6 de julio del 2021; señalando además que, en la corrección debe considerar los valores pagados por capital e intereses que se encuentran en el</w:t>
                            </w:r>
                            <w:r w:rsidRPr="00FE0C93">
                              <w:t xml:space="preserve"> </w:t>
                            </w:r>
                            <w:r w:rsidRPr="00D60D2D">
                              <w:rPr>
                                <w:b w:val="0"/>
                                <w:sz w:val="22"/>
                                <w:szCs w:val="22"/>
                              </w:rPr>
                              <w:t xml:space="preserve">Depósito a su cargo, y que se hayan generado a la fecha corresponden al titular de la </w:t>
                            </w:r>
                            <w:r w:rsidRPr="00D60D2D">
                              <w:rPr>
                                <w:rFonts w:cstheme="minorHAnsi"/>
                                <w:b w:val="0"/>
                                <w:sz w:val="22"/>
                                <w:szCs w:val="22"/>
                              </w:rPr>
                              <w:t xml:space="preserve">anotación en cuenta. </w:t>
                            </w:r>
                          </w:p>
                          <w:p w:rsidR="00AC02B7" w:rsidRPr="000111F0" w:rsidRDefault="00AC02B7" w:rsidP="00AC02B7">
                            <w:pPr>
                              <w:autoSpaceDE w:val="0"/>
                              <w:autoSpaceDN w:val="0"/>
                              <w:adjustRightInd w:val="0"/>
                              <w:spacing w:line="240" w:lineRule="auto"/>
                              <w:ind w:left="708"/>
                              <w:jc w:val="both"/>
                              <w:rPr>
                                <w:rFonts w:cstheme="minorHAnsi"/>
                                <w:lang w:eastAsia="es-EC"/>
                              </w:rPr>
                            </w:pPr>
                            <w:r>
                              <w:rPr>
                                <w:rFonts w:cstheme="minorHAnsi"/>
                                <w:lang w:eastAsia="es-EC"/>
                              </w:rPr>
                              <w:t>De la verificación efectuada, se ha establecido que el DCV-BCE ha adoptado las siguientes medidas</w:t>
                            </w:r>
                            <w:r w:rsidRPr="00420EEB">
                              <w:rPr>
                                <w:rFonts w:cstheme="minorHAnsi"/>
                                <w:lang w:eastAsia="es-EC"/>
                              </w:rPr>
                              <w:t>:</w:t>
                            </w:r>
                          </w:p>
                          <w:p w:rsidR="00AC02B7" w:rsidRDefault="00AC02B7" w:rsidP="00AC02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 Cuadro de texto" o:spid="_x0000_s1028" type="#_x0000_t202" style="position:absolute;left:0;text-align:left;margin-left:2pt;margin-top:14.3pt;width:458.25pt;height:670.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" fillcolor="white [3201]" strokeweight=".5pt">
                <v:textbox>
                  <w:txbxContent>
                    <w:p w:rsidR="00AC02B7" w:rsidRPr="00D60D2D" w:rsidRDefault="00AC02B7" w:rsidP="00AC02B7">
                      <w:pPr>
                        <w:pStyle w:val="Prrafodelista"/>
                        <w:numPr>
                          <w:ilvl w:val="0"/>
                          <w:numId w:val="14"/>
                        </w:numPr>
                        <w:spacing w:after="160" w:line="259" w:lineRule="auto"/>
                        <w:jc w:val="both"/>
                        <w:rPr>
                          <w:b w:val="0"/>
                          <w:sz w:val="22"/>
                          <w:szCs w:val="22"/>
                        </w:rPr>
                      </w:pPr>
                      <w:r w:rsidRPr="00D60D2D">
                        <w:rPr>
                          <w:b w:val="0"/>
                          <w:sz w:val="22"/>
                          <w:szCs w:val="22"/>
                          <w:lang w:val="en-US"/>
                        </w:rPr>
                        <w:t xml:space="preserve">MOBO LAW CHERREZ &amp; PROAÑO CÍA. </w:t>
                      </w:r>
                      <w:r w:rsidRPr="00D60D2D">
                        <w:rPr>
                          <w:b w:val="0"/>
                          <w:sz w:val="22"/>
                          <w:szCs w:val="22"/>
                        </w:rPr>
                        <w:t>LTDA.: Informe No. SCVS.IRQ.DRMV.C.2022.422: En análisis jurídico de Fiscalización, Consultas y Desarrollo Normativo, para pertinencia de inicio de proceso administrativo sancionador del proceso de actuaciones previas iniciado el 14 de septiembre de 2022 con Oficio No. SCVS-IRQ-DRMV-2022-00054549-O, se concluye lo siguiente:</w:t>
                      </w:r>
                    </w:p>
                    <w:p w:rsidR="00AC02B7" w:rsidRPr="00D60D2D" w:rsidRDefault="00AC02B7" w:rsidP="00AC02B7">
                      <w:pPr>
                        <w:ind w:left="709"/>
                        <w:jc w:val="both"/>
                      </w:pPr>
                      <w:r w:rsidRPr="00D60D2D">
                        <w:t>a) No  se evidencia  que la compañía,  en su calidad de Representante de los Obligacionistas, efectúo gestiones previas al vencimiento, a fin de evitar el retraso en el pago de cupones de capital e intereses, acaecido el 1 de febrero de 2021; tales como: verificar la provisión de fondos y estado de las garantías de la emisión, comprobando la existencia y el valor de los bienes afectados, y/o solicitar la conformación de un fondo de amortización en caso de un riesgo razonable de no pago.</w:t>
                      </w:r>
                    </w:p>
                    <w:p w:rsidR="00AC02B7" w:rsidRPr="00D60D2D" w:rsidRDefault="00AC02B7" w:rsidP="00AC02B7">
                      <w:pPr>
                        <w:ind w:left="709"/>
                        <w:jc w:val="both"/>
                      </w:pPr>
                      <w:r w:rsidRPr="00D60D2D">
                        <w:t>b) No realizó las gestiones pertinentes de seguimiento para que el acuerdo de reestructuración de pagos del 13 de agosto de 2021, sea aprobado por la Superintendencia de Compañías, Valores y Seguros.</w:t>
                      </w:r>
                    </w:p>
                    <w:p w:rsidR="00AC02B7" w:rsidRPr="00D60D2D" w:rsidRDefault="00AC02B7" w:rsidP="00AC02B7">
                      <w:pPr>
                        <w:ind w:left="709"/>
                        <w:jc w:val="both"/>
                      </w:pPr>
                      <w:r w:rsidRPr="00D60D2D">
                        <w:t>c) No remitió información relacionada con las acciones previas y posteriores al 1 de febrero de 2022, que evidencien su gestión para que no se materialice un nuevo incumplimiento de los pagos a los inversionistas.</w:t>
                      </w:r>
                    </w:p>
                    <w:p w:rsidR="00AC02B7" w:rsidRPr="00D60D2D" w:rsidRDefault="00AC02B7" w:rsidP="00AC02B7">
                      <w:pPr>
                        <w:ind w:left="709"/>
                        <w:jc w:val="both"/>
                      </w:pPr>
                      <w:r w:rsidRPr="00D60D2D">
                        <w:t>d) No remitió documentación que avale el cumplimiento de su deber de información a esta Institución y a la Calificadora de Riesgos, sobre el incumplimiento por parte del emisor, de las cláusulas del contrato de emisión y de sus obligaciones, por la cancelación de los cupones de los vencimientos al 1 de febrero, 1 de mayo y 1 de agosto de 2021; y, 1 de febrero de 2022, en forma y plazos distintos a los acordados.</w:t>
                      </w:r>
                    </w:p>
                    <w:p w:rsidR="00AC02B7" w:rsidRPr="00D60D2D" w:rsidRDefault="00AC02B7" w:rsidP="00AC02B7">
                      <w:pPr>
                        <w:ind w:left="709"/>
                        <w:jc w:val="both"/>
                      </w:pPr>
                      <w:r w:rsidRPr="00D60D2D">
                        <w:t>e) El informe de gestión con corte al 31 de agosto de 2021, relacionado con la emisión de obligaciones de largo plazo de CONSTRUCTORA DE DISEÑOS PRODUCTIVOS CONSTRUDIPRO S.A. autorizada con Resolución No. SCVS.INMV.DNAR.2018.00000713 del 23 de enero de 2018, 2021, fue cargado en el Sistema Integrado de Mercado de Valores (SIMV) el 21 de enero de 2022, es decir, de manera extemporánea y con 116 días de retraso y no cumple con los requisitos mínimos de contenido establecidos en la norma pertinente.</w:t>
                      </w:r>
                    </w:p>
                    <w:p w:rsidR="00AC02B7" w:rsidRPr="00D60D2D" w:rsidRDefault="00AC02B7" w:rsidP="00AC02B7">
                      <w:pPr>
                        <w:pStyle w:val="Prrafodelista"/>
                        <w:numPr>
                          <w:ilvl w:val="0"/>
                          <w:numId w:val="14"/>
                        </w:numPr>
                        <w:spacing w:after="160" w:line="259" w:lineRule="auto"/>
                        <w:jc w:val="both"/>
                        <w:rPr>
                          <w:rFonts w:cstheme="minorHAnsi"/>
                          <w:b w:val="0"/>
                          <w:sz w:val="22"/>
                          <w:szCs w:val="22"/>
                        </w:rPr>
                      </w:pPr>
                      <w:r w:rsidRPr="00D60D2D">
                        <w:rPr>
                          <w:b w:val="0"/>
                          <w:sz w:val="22"/>
                          <w:szCs w:val="22"/>
                        </w:rPr>
                        <w:t>DCV-BCE: Mediante Oficio No. SCVS-DSC-2022-00062616-O de 24 de octubre de 2022, el Superintendente de Compañías, Valores y Seguros dispuso al Depósito Centralizado de Compensación y Liquidación de Valores del Banco Central del Ecuador, en adelante, DCV-BCE que de manera inmediata adopte las medidas correctivas y de saneamiento orientadas a corregir el registro o inscripción contable de los valores, dentro del sistema de anotación en cuenta signada con No. 18228 de NATS CUMCO LLC. de las 26 operaciones bursátiles que motivaron la Resolución Administrativa Sancionadora No. SCVS.IRQ.DRMV.-2021-00005677, de fecha 6 de julio del 2021; señalando además que, en la corrección debe considerar los valores pagados por capital e intereses que se encuentran en el</w:t>
                      </w:r>
                      <w:r w:rsidRPr="00FE0C93">
                        <w:t xml:space="preserve"> </w:t>
                      </w:r>
                      <w:r w:rsidRPr="00D60D2D">
                        <w:rPr>
                          <w:b w:val="0"/>
                          <w:sz w:val="22"/>
                          <w:szCs w:val="22"/>
                        </w:rPr>
                        <w:t xml:space="preserve">Depósito a su cargo, y que se hayan generado a la fecha corresponden al titular de la </w:t>
                      </w:r>
                      <w:r w:rsidRPr="00D60D2D">
                        <w:rPr>
                          <w:rFonts w:cstheme="minorHAnsi"/>
                          <w:b w:val="0"/>
                          <w:sz w:val="22"/>
                          <w:szCs w:val="22"/>
                        </w:rPr>
                        <w:t xml:space="preserve">anotación en cuenta. </w:t>
                      </w:r>
                    </w:p>
                    <w:p w:rsidR="00AC02B7" w:rsidRPr="000111F0" w:rsidRDefault="00AC02B7" w:rsidP="00AC02B7">
                      <w:pPr>
                        <w:autoSpaceDE w:val="0"/>
                        <w:autoSpaceDN w:val="0"/>
                        <w:adjustRightInd w:val="0"/>
                        <w:spacing w:line="240" w:lineRule="auto"/>
                        <w:ind w:left="708"/>
                        <w:jc w:val="both"/>
                        <w:rPr>
                          <w:rFonts w:cstheme="minorHAnsi"/>
                          <w:lang w:eastAsia="es-EC"/>
                        </w:rPr>
                      </w:pPr>
                      <w:r>
                        <w:rPr>
                          <w:rFonts w:cstheme="minorHAnsi"/>
                          <w:lang w:eastAsia="es-EC"/>
                        </w:rPr>
                        <w:t>De la verificación efectuada, se ha establecido que el DCV-BCE ha adoptado las siguientes medidas</w:t>
                      </w:r>
                      <w:r w:rsidRPr="00420EEB">
                        <w:rPr>
                          <w:rFonts w:cstheme="minorHAnsi"/>
                          <w:lang w:eastAsia="es-EC"/>
                        </w:rPr>
                        <w:t>:</w:t>
                      </w:r>
                    </w:p>
                    <w:p w:rsidR="00AC02B7" w:rsidRDefault="00AC02B7" w:rsidP="00AC02B7"/>
                  </w:txbxContent>
                </v:textbox>
              </v:shape>
            </w:pict>
          </mc:Fallback>
        </mc:AlternateContent>
      </w: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D60D2D" w:rsidRPr="00692FAD" w:rsidRDefault="00D60D2D"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D60D2D" w:rsidRPr="00692FAD" w:rsidRDefault="00D60D2D" w:rsidP="00AC02B7">
      <w:pPr>
        <w:spacing w:after="0" w:line="360" w:lineRule="auto"/>
        <w:jc w:val="both"/>
        <w:rPr>
          <w:rFonts w:cstheme="minorHAnsi"/>
          <w:b/>
          <w:i/>
          <w:lang w:val="es-MX"/>
        </w:rPr>
      </w:pPr>
      <w:r w:rsidRPr="00692FAD">
        <w:rPr>
          <w:rFonts w:cstheme="minorHAnsi"/>
          <w:noProof/>
          <w:lang w:val="es-ES" w:eastAsia="es-ES"/>
        </w:rPr>
        <mc:AlternateContent>
          <mc:Choice Requires="wps">
            <w:drawing>
              <wp:anchor distT="0" distB="0" distL="114300" distR="114300" simplePos="0" relativeHeight="251665408" behindDoc="0" locked="0" layoutInCell="1" allowOverlap="1" wp14:anchorId="0FDD1EB3" wp14:editId="30EF6B61">
                <wp:simplePos x="0" y="0"/>
                <wp:positionH relativeFrom="column">
                  <wp:posOffset>72804</wp:posOffset>
                </wp:positionH>
                <wp:positionV relativeFrom="paragraph">
                  <wp:posOffset>36996</wp:posOffset>
                </wp:positionV>
                <wp:extent cx="5819775" cy="9295074"/>
                <wp:effectExtent l="0" t="0" r="28575" b="20955"/>
                <wp:wrapNone/>
                <wp:docPr id="51" name="51 Cuadro de texto"/>
                <wp:cNvGraphicFramePr/>
                <a:graphic xmlns:a="http://schemas.openxmlformats.org/drawingml/2006/main">
                  <a:graphicData uri="http://schemas.microsoft.com/office/word/2010/wordprocessingShape">
                    <wps:wsp>
                      <wps:cNvSpPr txBox="1"/>
                      <wps:spPr>
                        <a:xfrm>
                          <a:off x="0" y="0"/>
                          <a:ext cx="5819775" cy="929507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C02B7" w:rsidRPr="00D60D2D" w:rsidRDefault="00AC02B7" w:rsidP="00AC02B7">
                            <w:pPr>
                              <w:pStyle w:val="Prrafodelista"/>
                              <w:numPr>
                                <w:ilvl w:val="0"/>
                                <w:numId w:val="11"/>
                              </w:numPr>
                              <w:spacing w:line="240" w:lineRule="auto"/>
                              <w:contextualSpacing w:val="0"/>
                              <w:jc w:val="both"/>
                              <w:rPr>
                                <w:b w:val="0"/>
                                <w:bCs/>
                                <w:sz w:val="22"/>
                                <w:szCs w:val="22"/>
                                <w:lang w:eastAsia="es-EC"/>
                              </w:rPr>
                            </w:pPr>
                            <w:r w:rsidRPr="00D60D2D">
                              <w:rPr>
                                <w:rFonts w:cstheme="minorHAnsi"/>
                                <w:b w:val="0"/>
                                <w:sz w:val="22"/>
                                <w:szCs w:val="22"/>
                                <w:lang w:eastAsia="es-EC"/>
                              </w:rPr>
                              <w:t>Reforma de su  Manual de Operaciones para incluir lo siguiente: “</w:t>
                            </w:r>
                            <w:r w:rsidRPr="00D60D2D">
                              <w:rPr>
                                <w:rFonts w:cstheme="minorHAnsi"/>
                                <w:b w:val="0"/>
                                <w:i/>
                                <w:iCs/>
                                <w:sz w:val="22"/>
                                <w:szCs w:val="22"/>
                                <w:lang w:eastAsia="es-EC"/>
                              </w:rPr>
                              <w:t>MEDIDAS CORRECTIVAS Y DE SANEAMIENTO</w:t>
                            </w:r>
                            <w:r w:rsidRPr="00D60D2D">
                              <w:rPr>
                                <w:rFonts w:cstheme="minorHAnsi"/>
                                <w:b w:val="0"/>
                                <w:i/>
                                <w:sz w:val="22"/>
                                <w:szCs w:val="22"/>
                                <w:lang w:eastAsia="es-EC"/>
                              </w:rPr>
                              <w:t xml:space="preserve">”, </w:t>
                            </w:r>
                            <w:r w:rsidRPr="00D60D2D">
                              <w:rPr>
                                <w:rFonts w:cstheme="minorHAnsi"/>
                                <w:b w:val="0"/>
                                <w:sz w:val="22"/>
                                <w:szCs w:val="22"/>
                                <w:lang w:eastAsia="es-EC"/>
                              </w:rPr>
                              <w:t>en virtud de la Resolución No. PRF-V-2022-040.</w:t>
                            </w:r>
                          </w:p>
                          <w:p w:rsidR="00AC02B7" w:rsidRPr="00D60D2D"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D60D2D">
                              <w:rPr>
                                <w:rFonts w:cstheme="minorHAnsi"/>
                                <w:b w:val="0"/>
                                <w:sz w:val="22"/>
                                <w:szCs w:val="22"/>
                                <w:lang w:eastAsia="es-EC"/>
                              </w:rPr>
                              <w:t>Corrección del registro o inscripción contable de los valores en la subcuenta Nro. 237 a nombre de ISSPOL, y que era la subcuenta en la que se encontraban los valores antes de la negociación</w:t>
                            </w:r>
                            <w:r w:rsidRPr="00D60D2D">
                              <w:rPr>
                                <w:rFonts w:cstheme="minorHAnsi"/>
                                <w:b w:val="0"/>
                                <w:iCs/>
                                <w:sz w:val="22"/>
                                <w:szCs w:val="22"/>
                                <w:lang w:eastAsia="es-EC"/>
                              </w:rPr>
                              <w:t>.</w:t>
                            </w:r>
                          </w:p>
                          <w:p w:rsidR="00AC02B7" w:rsidRPr="00D60D2D"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D60D2D">
                              <w:rPr>
                                <w:rFonts w:cstheme="minorHAnsi"/>
                                <w:b w:val="0"/>
                                <w:sz w:val="22"/>
                                <w:szCs w:val="22"/>
                                <w:lang w:eastAsia="es-EC"/>
                              </w:rPr>
                              <w:t xml:space="preserve">En lo que respecta a los fondos retenidos producto de los vencimientos de cupones de capital e intereses que se han suscitado desde el 29 de julio de 2021 hasta el 24 de noviembre de 2022, correspondientes a intereses y capital, se corrigió el registro de la cuenta corriente Nro. 236189 “NATS CUMCO L.L.C. – RET. MED. CAUTELARES UNIDAD JUD”, a la cuenta </w:t>
                            </w:r>
                            <w:r w:rsidRPr="00D60D2D">
                              <w:rPr>
                                <w:rFonts w:cstheme="minorHAnsi"/>
                                <w:b w:val="0"/>
                                <w:iCs/>
                                <w:sz w:val="22"/>
                                <w:szCs w:val="22"/>
                                <w:lang w:eastAsia="es-EC"/>
                              </w:rPr>
                              <w:t>231315  “ISSPOL MEDIDAS CAUTELARES Y CORRECTIVAS”</w:t>
                            </w:r>
                            <w:r w:rsidRPr="00D60D2D">
                              <w:rPr>
                                <w:rFonts w:cstheme="minorHAnsi"/>
                                <w:b w:val="0"/>
                                <w:sz w:val="22"/>
                                <w:szCs w:val="22"/>
                                <w:lang w:eastAsia="es-EC"/>
                              </w:rPr>
                              <w:t xml:space="preserve"> por un monto total de USD $28.655.125,00</w:t>
                            </w:r>
                            <w:r w:rsidRPr="00D60D2D">
                              <w:rPr>
                                <w:rFonts w:cstheme="minorHAnsi"/>
                                <w:b w:val="0"/>
                                <w:iCs/>
                                <w:sz w:val="22"/>
                                <w:szCs w:val="22"/>
                                <w:lang w:eastAsia="es-EC"/>
                              </w:rPr>
                              <w:t>, quedando estos montos inmovilizados conforme la medida cautelar vigente a la fecha de la verificación.</w:t>
                            </w:r>
                          </w:p>
                          <w:p w:rsidR="00AC02B7" w:rsidRPr="00D60D2D" w:rsidRDefault="00AC02B7" w:rsidP="00AC02B7">
                            <w:pPr>
                              <w:pStyle w:val="Prrafodelista"/>
                              <w:numPr>
                                <w:ilvl w:val="0"/>
                                <w:numId w:val="12"/>
                              </w:numPr>
                              <w:spacing w:after="160" w:line="259" w:lineRule="auto"/>
                              <w:jc w:val="both"/>
                              <w:rPr>
                                <w:rFonts w:cstheme="minorHAnsi"/>
                                <w:b w:val="0"/>
                                <w:sz w:val="22"/>
                                <w:szCs w:val="22"/>
                              </w:rPr>
                            </w:pPr>
                            <w:r w:rsidRPr="00D60D2D">
                              <w:rPr>
                                <w:rFonts w:cstheme="minorHAnsi"/>
                                <w:b w:val="0"/>
                                <w:sz w:val="22"/>
                                <w:szCs w:val="22"/>
                              </w:rPr>
                              <w:t>PORTAFOLIO CASA DE VALORES S.A. PORTAVALOR: En virtud de que se detectaron algunos casos en común, relacionados, con el hecho de que los clientes de PORTAFOLIO para efectuar inversiones, para lo cual entregaron recursos económicos, en la mayoría de casos a PORTAFOLIO, en cheque o transferencias, a cambio en algunos casos recibieron “Contratos de Mandato para la Administración de Portafolio de Inversión” y en otros, adicional al contrato recibieron un documento denominado “Operaciones de Renta Fija Dólares al Vencimiento”; fueron impresos en hojas membretadas de la Casa de Valores, tienen las firmas de responsabilidad de los Señores Víctor Chiriboga y Álvaro De Guzmán y el sello de la Casa de Valores. Con dichos documentos se habría informado a los clientes sobre las presuntas inversiones realizadas a su favor a través de la Casa de Valores y que en todos los casos de manera constante se habría venido renovando, por lo que los clientes asumían que su dinero se mantenía invertido y por ende desconocían el verdadero destino de sus recursos dinerarios pues se colocaron en Proimpex (sociedad civil comercial) y Jolasur (empresa societaria liquidada), ambas  vinculadas con los accionistas los señores Víctor Chiriboga Álvaro De Guzmán. Sobre estos hechos se han adoptado las siguientes medidas administrativas:</w:t>
                            </w:r>
                          </w:p>
                          <w:p w:rsidR="00AC02B7" w:rsidRPr="00D60D2D"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D60D2D">
                              <w:rPr>
                                <w:rFonts w:cstheme="minorHAnsi"/>
                                <w:b w:val="0"/>
                                <w:sz w:val="22"/>
                                <w:szCs w:val="22"/>
                                <w:lang w:eastAsia="es-EC"/>
                              </w:rPr>
                              <w:t xml:space="preserve">La compañía actualmente permanece intervenida por esta Superintendencia. </w:t>
                            </w:r>
                          </w:p>
                          <w:p w:rsidR="00AC02B7" w:rsidRPr="00D60D2D"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D60D2D">
                              <w:rPr>
                                <w:rFonts w:cstheme="minorHAnsi"/>
                                <w:b w:val="0"/>
                                <w:sz w:val="22"/>
                                <w:szCs w:val="22"/>
                                <w:lang w:eastAsia="es-EC"/>
                              </w:rPr>
                              <w:t xml:space="preserve">En el ámbito de la Gestión de Control se trasladó a la Dirección Regional de Procuraduría y Asesoría Institucional de esta Institución para que dentro de sus competencias determine la pertinencia o no de remitir el caso a Fiscalía. </w:t>
                            </w:r>
                          </w:p>
                          <w:p w:rsidR="00AC02B7" w:rsidRPr="00AC02B7"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AC02B7">
                              <w:rPr>
                                <w:rFonts w:cstheme="minorHAnsi"/>
                                <w:b w:val="0"/>
                                <w:sz w:val="22"/>
                                <w:szCs w:val="22"/>
                                <w:lang w:eastAsia="es-EC"/>
                              </w:rPr>
                              <w:t xml:space="preserve">Se emitieron las Resoluciones de sanción administrativa en contra de los Accionistas y Administradores de la Casa de Valores, Señores: Víctor Chiriboga y Álvaro De Guzmán, a fin de descalificarlos para participar en el mercado de valores por un lapso de 10 años, y multas pecuniarias. </w:t>
                            </w:r>
                          </w:p>
                          <w:p w:rsidR="00AC02B7" w:rsidRPr="00AC02B7"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AC02B7">
                              <w:rPr>
                                <w:rFonts w:cstheme="minorHAnsi"/>
                                <w:b w:val="0"/>
                                <w:sz w:val="22"/>
                                <w:szCs w:val="22"/>
                                <w:lang w:eastAsia="es-EC"/>
                              </w:rPr>
                              <w:t>Se canceló la inscripción de la Casa de Valores en el Catastro Público de Mercado de Valores.</w:t>
                            </w:r>
                          </w:p>
                          <w:p w:rsidR="00AC02B7" w:rsidRPr="00AC02B7"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AC02B7">
                              <w:rPr>
                                <w:rFonts w:cstheme="minorHAnsi"/>
                                <w:b w:val="0"/>
                                <w:sz w:val="22"/>
                                <w:szCs w:val="22"/>
                                <w:lang w:eastAsia="es-EC"/>
                              </w:rPr>
                              <w:t xml:space="preserve">Consecuentemente, se declaró en estado de disolución y liquidación de la Compañía, proceso que aún no se ha concluido. </w:t>
                            </w:r>
                          </w:p>
                          <w:p w:rsidR="00AC02B7" w:rsidRPr="00AC02B7" w:rsidRDefault="00AC02B7" w:rsidP="00AC02B7">
                            <w:pPr>
                              <w:pStyle w:val="Prrafodelista"/>
                              <w:numPr>
                                <w:ilvl w:val="0"/>
                                <w:numId w:val="12"/>
                              </w:numPr>
                              <w:spacing w:after="160" w:line="259" w:lineRule="auto"/>
                              <w:jc w:val="both"/>
                              <w:rPr>
                                <w:rFonts w:cstheme="minorHAnsi"/>
                                <w:b w:val="0"/>
                                <w:sz w:val="22"/>
                                <w:szCs w:val="22"/>
                              </w:rPr>
                            </w:pPr>
                            <w:r w:rsidRPr="00AC02B7">
                              <w:rPr>
                                <w:rFonts w:cstheme="minorHAnsi"/>
                                <w:b w:val="0"/>
                                <w:bCs/>
                                <w:sz w:val="22"/>
                                <w:szCs w:val="22"/>
                              </w:rPr>
                              <w:t>FIDUCIARIA ATLÁNTIDA FIDUTLAN ADMINISTRADORA DE FONDOS Y FIDEICOMISOS S.A</w:t>
                            </w:r>
                            <w:r w:rsidRPr="00AC02B7">
                              <w:rPr>
                                <w:rFonts w:cstheme="minorHAnsi"/>
                                <w:b w:val="0"/>
                                <w:sz w:val="22"/>
                                <w:szCs w:val="22"/>
                              </w:rPr>
                              <w:t xml:space="preserve">.: Mediante </w:t>
                            </w:r>
                            <w:r w:rsidRPr="00AC02B7">
                              <w:rPr>
                                <w:rFonts w:cstheme="minorHAnsi"/>
                                <w:b w:val="0"/>
                                <w:bCs/>
                                <w:sz w:val="22"/>
                                <w:szCs w:val="22"/>
                              </w:rPr>
                              <w:t xml:space="preserve">Resolución No.SCVS-IRQ-DRMV-2022-03250 de 06 de diciembre de 2022, se declaró en estado de Intervención a la Compañía, ya que de la verificación de su gestión en el FONDO ADMINISTRADO DE INVERSIÓN FIT, se determinaron varias irregularidades e inobservancias a los reglamentos internos de la Administratoria del Fondo, de la Ley y Codificación que le rige como participante del mercado de valores, así como la normativa </w:t>
                            </w:r>
                          </w:p>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1 Cuadro de texto" o:spid="_x0000_s1029" type="#_x0000_t202" style="position:absolute;left:0;text-align:left;margin-left:5.75pt;margin-top:2.9pt;width:458.25pt;height:73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" fillcolor="white [3201]" strokeweight=".5pt">
                <v:textbox>
                  <w:txbxContent>
                    <w:p w:rsidR="00AC02B7" w:rsidRPr="00D60D2D" w:rsidRDefault="00AC02B7" w:rsidP="00AC02B7">
                      <w:pPr>
                        <w:pStyle w:val="Prrafodelista"/>
                        <w:numPr>
                          <w:ilvl w:val="0"/>
                          <w:numId w:val="11"/>
                        </w:numPr>
                        <w:spacing w:line="240" w:lineRule="auto"/>
                        <w:contextualSpacing w:val="0"/>
                        <w:jc w:val="both"/>
                        <w:rPr>
                          <w:b w:val="0"/>
                          <w:bCs/>
                          <w:sz w:val="22"/>
                          <w:szCs w:val="22"/>
                          <w:lang w:eastAsia="es-EC"/>
                        </w:rPr>
                      </w:pPr>
                      <w:r w:rsidRPr="00D60D2D">
                        <w:rPr>
                          <w:rFonts w:cstheme="minorHAnsi"/>
                          <w:b w:val="0"/>
                          <w:sz w:val="22"/>
                          <w:szCs w:val="22"/>
                          <w:lang w:eastAsia="es-EC"/>
                        </w:rPr>
                        <w:t>Reforma de su  Manual de Operaciones para incluir lo siguiente: “</w:t>
                      </w:r>
                      <w:r w:rsidRPr="00D60D2D">
                        <w:rPr>
                          <w:rFonts w:cstheme="minorHAnsi"/>
                          <w:b w:val="0"/>
                          <w:i/>
                          <w:iCs/>
                          <w:sz w:val="22"/>
                          <w:szCs w:val="22"/>
                          <w:lang w:eastAsia="es-EC"/>
                        </w:rPr>
                        <w:t>MEDIDAS CORRECTIVAS Y DE SANEAMIENTO</w:t>
                      </w:r>
                      <w:r w:rsidRPr="00D60D2D">
                        <w:rPr>
                          <w:rFonts w:cstheme="minorHAnsi"/>
                          <w:b w:val="0"/>
                          <w:i/>
                          <w:sz w:val="22"/>
                          <w:szCs w:val="22"/>
                          <w:lang w:eastAsia="es-EC"/>
                        </w:rPr>
                        <w:t xml:space="preserve">”, </w:t>
                      </w:r>
                      <w:r w:rsidRPr="00D60D2D">
                        <w:rPr>
                          <w:rFonts w:cstheme="minorHAnsi"/>
                          <w:b w:val="0"/>
                          <w:sz w:val="22"/>
                          <w:szCs w:val="22"/>
                          <w:lang w:eastAsia="es-EC"/>
                        </w:rPr>
                        <w:t>en virtud de la Resolución No. PRF-V-2022-040.</w:t>
                      </w:r>
                    </w:p>
                    <w:p w:rsidR="00AC02B7" w:rsidRPr="00D60D2D"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D60D2D">
                        <w:rPr>
                          <w:rFonts w:cstheme="minorHAnsi"/>
                          <w:b w:val="0"/>
                          <w:sz w:val="22"/>
                          <w:szCs w:val="22"/>
                          <w:lang w:eastAsia="es-EC"/>
                        </w:rPr>
                        <w:t>Corrección del registro o inscripción contable de los valores en la subcuenta Nro. 237 a nombre de ISSPOL, y que era la subcuenta en la que se encontraban los valores antes de la negociación</w:t>
                      </w:r>
                      <w:r w:rsidRPr="00D60D2D">
                        <w:rPr>
                          <w:rFonts w:cstheme="minorHAnsi"/>
                          <w:b w:val="0"/>
                          <w:iCs/>
                          <w:sz w:val="22"/>
                          <w:szCs w:val="22"/>
                          <w:lang w:eastAsia="es-EC"/>
                        </w:rPr>
                        <w:t>.</w:t>
                      </w:r>
                    </w:p>
                    <w:p w:rsidR="00AC02B7" w:rsidRPr="00D60D2D"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D60D2D">
                        <w:rPr>
                          <w:rFonts w:cstheme="minorHAnsi"/>
                          <w:b w:val="0"/>
                          <w:sz w:val="22"/>
                          <w:szCs w:val="22"/>
                          <w:lang w:eastAsia="es-EC"/>
                        </w:rPr>
                        <w:t xml:space="preserve">En lo que respecta a los fondos retenidos producto de los vencimientos de cupones de capital e intereses que se han suscitado desde el 29 de julio de 2021 hasta el 24 de noviembre de 2022, correspondientes a intereses y capital, se corrigió el registro de la cuenta corriente Nro. 236189 “NATS CUMCO L.L.C. – RET. MED. CAUTELARES UNIDAD JUD”, a la cuenta </w:t>
                      </w:r>
                      <w:r w:rsidRPr="00D60D2D">
                        <w:rPr>
                          <w:rFonts w:cstheme="minorHAnsi"/>
                          <w:b w:val="0"/>
                          <w:iCs/>
                          <w:sz w:val="22"/>
                          <w:szCs w:val="22"/>
                          <w:lang w:eastAsia="es-EC"/>
                        </w:rPr>
                        <w:t>231315  “ISSPOL MEDIDAS CAUTELARES Y CORRECTIVAS”</w:t>
                      </w:r>
                      <w:r w:rsidRPr="00D60D2D">
                        <w:rPr>
                          <w:rFonts w:cstheme="minorHAnsi"/>
                          <w:b w:val="0"/>
                          <w:sz w:val="22"/>
                          <w:szCs w:val="22"/>
                          <w:lang w:eastAsia="es-EC"/>
                        </w:rPr>
                        <w:t xml:space="preserve"> por un monto total de USD $28.655.125,00</w:t>
                      </w:r>
                      <w:r w:rsidRPr="00D60D2D">
                        <w:rPr>
                          <w:rFonts w:cstheme="minorHAnsi"/>
                          <w:b w:val="0"/>
                          <w:iCs/>
                          <w:sz w:val="22"/>
                          <w:szCs w:val="22"/>
                          <w:lang w:eastAsia="es-EC"/>
                        </w:rPr>
                        <w:t>, quedando estos montos inmovilizados conforme la medida cautelar vigente a la fecha de la verificación.</w:t>
                      </w:r>
                    </w:p>
                    <w:p w:rsidR="00AC02B7" w:rsidRPr="00D60D2D" w:rsidRDefault="00AC02B7" w:rsidP="00AC02B7">
                      <w:pPr>
                        <w:pStyle w:val="Prrafodelista"/>
                        <w:numPr>
                          <w:ilvl w:val="0"/>
                          <w:numId w:val="12"/>
                        </w:numPr>
                        <w:spacing w:after="160" w:line="259" w:lineRule="auto"/>
                        <w:jc w:val="both"/>
                        <w:rPr>
                          <w:rFonts w:cstheme="minorHAnsi"/>
                          <w:b w:val="0"/>
                          <w:sz w:val="22"/>
                          <w:szCs w:val="22"/>
                        </w:rPr>
                      </w:pPr>
                      <w:r w:rsidRPr="00D60D2D">
                        <w:rPr>
                          <w:rFonts w:cstheme="minorHAnsi"/>
                          <w:b w:val="0"/>
                          <w:sz w:val="22"/>
                          <w:szCs w:val="22"/>
                        </w:rPr>
                        <w:t xml:space="preserve">PORTAFOLIO CASA DE VALORES S.A. PORTAVALOR: En virtud de que se detectaron algunos casos en común, relacionados, con el hecho de que los clientes de PORTAFOLIO para efectuar inversiones, para lo cual entregaron recursos económicos, en la mayoría de casos a PORTAFOLIO, en cheque o transferencias, a cambio en algunos casos recibieron “Contratos de Mandato para la Administración de Portafolio de Inversión” y en otros, adicional al contrato recibieron un documento denominado “Operaciones de Renta Fija Dólares al Vencimiento”; fueron impresos en hojas membretadas de la Casa de Valores, tienen las firmas de responsabilidad de los Señores Víctor Chiriboga y Álvaro De Guzmán y el sello de la Casa de Valores. Con dichos documentos se habría informado a los clientes sobre las presuntas inversiones realizadas a su favor a través de la Casa de Valores y que en todos los casos de manera constante se habría venido renovando, por lo que los clientes asumían que su dinero se mantenía invertido y por ende desconocían el verdadero destino de sus recursos dinerarios pues se colocaron en </w:t>
                      </w:r>
                      <w:proofErr w:type="spellStart"/>
                      <w:r w:rsidRPr="00D60D2D">
                        <w:rPr>
                          <w:rFonts w:cstheme="minorHAnsi"/>
                          <w:b w:val="0"/>
                          <w:sz w:val="22"/>
                          <w:szCs w:val="22"/>
                        </w:rPr>
                        <w:t>Proimpex</w:t>
                      </w:r>
                      <w:proofErr w:type="spellEnd"/>
                      <w:r w:rsidRPr="00D60D2D">
                        <w:rPr>
                          <w:rFonts w:cstheme="minorHAnsi"/>
                          <w:b w:val="0"/>
                          <w:sz w:val="22"/>
                          <w:szCs w:val="22"/>
                        </w:rPr>
                        <w:t xml:space="preserve"> (sociedad civil comercial) y </w:t>
                      </w:r>
                      <w:proofErr w:type="spellStart"/>
                      <w:r w:rsidRPr="00D60D2D">
                        <w:rPr>
                          <w:rFonts w:cstheme="minorHAnsi"/>
                          <w:b w:val="0"/>
                          <w:sz w:val="22"/>
                          <w:szCs w:val="22"/>
                        </w:rPr>
                        <w:t>Jolasur</w:t>
                      </w:r>
                      <w:proofErr w:type="spellEnd"/>
                      <w:r w:rsidRPr="00D60D2D">
                        <w:rPr>
                          <w:rFonts w:cstheme="minorHAnsi"/>
                          <w:b w:val="0"/>
                          <w:sz w:val="22"/>
                          <w:szCs w:val="22"/>
                        </w:rPr>
                        <w:t xml:space="preserve"> (empresa societaria liquidada), ambas  vinculadas con los accionistas los señores Víctor Chiriboga Álvaro De Guzmán. Sobre estos hechos se han adoptado las siguientes medidas administrativas:</w:t>
                      </w:r>
                    </w:p>
                    <w:p w:rsidR="00AC02B7" w:rsidRPr="00D60D2D"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D60D2D">
                        <w:rPr>
                          <w:rFonts w:cstheme="minorHAnsi"/>
                          <w:b w:val="0"/>
                          <w:sz w:val="22"/>
                          <w:szCs w:val="22"/>
                          <w:lang w:eastAsia="es-EC"/>
                        </w:rPr>
                        <w:t xml:space="preserve">La compañía actualmente permanece intervenida por esta Superintendencia. </w:t>
                      </w:r>
                    </w:p>
                    <w:p w:rsidR="00AC02B7" w:rsidRPr="00D60D2D"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D60D2D">
                        <w:rPr>
                          <w:rFonts w:cstheme="minorHAnsi"/>
                          <w:b w:val="0"/>
                          <w:sz w:val="22"/>
                          <w:szCs w:val="22"/>
                          <w:lang w:eastAsia="es-EC"/>
                        </w:rPr>
                        <w:t xml:space="preserve">En el ámbito de la Gestión de Control se trasladó a la Dirección Regional de Procuraduría y Asesoría Institucional de esta Institución para que dentro de sus competencias determine la pertinencia o no de remitir el caso a Fiscalía. </w:t>
                      </w:r>
                    </w:p>
                    <w:p w:rsidR="00AC02B7" w:rsidRPr="00AC02B7"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AC02B7">
                        <w:rPr>
                          <w:rFonts w:cstheme="minorHAnsi"/>
                          <w:b w:val="0"/>
                          <w:sz w:val="22"/>
                          <w:szCs w:val="22"/>
                          <w:lang w:eastAsia="es-EC"/>
                        </w:rPr>
                        <w:t xml:space="preserve">Se emitieron las Resoluciones de sanción administrativa en contra de los Accionistas y Administradores de la Casa de Valores, Señores: Víctor Chiriboga y Álvaro De Guzmán, a fin de descalificarlos para participar en el mercado de valores por un lapso de 10 años, y multas pecuniarias. </w:t>
                      </w:r>
                    </w:p>
                    <w:p w:rsidR="00AC02B7" w:rsidRPr="00AC02B7"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AC02B7">
                        <w:rPr>
                          <w:rFonts w:cstheme="minorHAnsi"/>
                          <w:b w:val="0"/>
                          <w:sz w:val="22"/>
                          <w:szCs w:val="22"/>
                          <w:lang w:eastAsia="es-EC"/>
                        </w:rPr>
                        <w:t>Se canceló la inscripción de la Casa de Valores en el Catastro Público de Mercado de Valores.</w:t>
                      </w:r>
                    </w:p>
                    <w:p w:rsidR="00AC02B7" w:rsidRPr="00AC02B7" w:rsidRDefault="00AC02B7" w:rsidP="00AC02B7">
                      <w:pPr>
                        <w:pStyle w:val="Prrafodelista"/>
                        <w:numPr>
                          <w:ilvl w:val="0"/>
                          <w:numId w:val="11"/>
                        </w:numPr>
                        <w:autoSpaceDE w:val="0"/>
                        <w:autoSpaceDN w:val="0"/>
                        <w:adjustRightInd w:val="0"/>
                        <w:spacing w:line="276" w:lineRule="auto"/>
                        <w:contextualSpacing w:val="0"/>
                        <w:jc w:val="both"/>
                        <w:rPr>
                          <w:rFonts w:cstheme="minorHAnsi"/>
                          <w:b w:val="0"/>
                          <w:sz w:val="22"/>
                          <w:szCs w:val="22"/>
                          <w:lang w:eastAsia="es-EC"/>
                        </w:rPr>
                      </w:pPr>
                      <w:r w:rsidRPr="00AC02B7">
                        <w:rPr>
                          <w:rFonts w:cstheme="minorHAnsi"/>
                          <w:b w:val="0"/>
                          <w:sz w:val="22"/>
                          <w:szCs w:val="22"/>
                          <w:lang w:eastAsia="es-EC"/>
                        </w:rPr>
                        <w:t xml:space="preserve">Consecuentemente, se declaró en estado de disolución y liquidación de la Compañía, proceso que aún no se ha concluido. </w:t>
                      </w:r>
                    </w:p>
                    <w:p w:rsidR="00AC02B7" w:rsidRPr="00AC02B7" w:rsidRDefault="00AC02B7" w:rsidP="00AC02B7">
                      <w:pPr>
                        <w:pStyle w:val="Prrafodelista"/>
                        <w:numPr>
                          <w:ilvl w:val="0"/>
                          <w:numId w:val="12"/>
                        </w:numPr>
                        <w:spacing w:after="160" w:line="259" w:lineRule="auto"/>
                        <w:jc w:val="both"/>
                        <w:rPr>
                          <w:rFonts w:cstheme="minorHAnsi"/>
                          <w:b w:val="0"/>
                          <w:sz w:val="22"/>
                          <w:szCs w:val="22"/>
                        </w:rPr>
                      </w:pPr>
                      <w:r w:rsidRPr="00AC02B7">
                        <w:rPr>
                          <w:rFonts w:cstheme="minorHAnsi"/>
                          <w:b w:val="0"/>
                          <w:bCs/>
                          <w:sz w:val="22"/>
                          <w:szCs w:val="22"/>
                        </w:rPr>
                        <w:t>FIDUCIARIA ATLÁNTIDA FIDUTLAN ADMINISTRADORA DE FONDOS Y FIDEICOMISOS S.A</w:t>
                      </w:r>
                      <w:r w:rsidRPr="00AC02B7">
                        <w:rPr>
                          <w:rFonts w:cstheme="minorHAnsi"/>
                          <w:b w:val="0"/>
                          <w:sz w:val="22"/>
                          <w:szCs w:val="22"/>
                        </w:rPr>
                        <w:t xml:space="preserve">.: Mediante </w:t>
                      </w:r>
                      <w:r w:rsidRPr="00AC02B7">
                        <w:rPr>
                          <w:rFonts w:cstheme="minorHAnsi"/>
                          <w:b w:val="0"/>
                          <w:bCs/>
                          <w:sz w:val="22"/>
                          <w:szCs w:val="22"/>
                        </w:rPr>
                        <w:t xml:space="preserve">Resolución No.SCVS-IRQ-DRMV-2022-03250 de 06 de diciembre de 2022, se declaró en estado de Intervención a la Compañía, ya que de la verificación de su gestión en el FONDO ADMINISTRADO DE INVERSIÓN FIT, se determinaron varias irregularidades e inobservancias a los reglamentos internos de la Administratoria del Fondo, de la Ley y Codificación que le rige como participante del mercado de valores, así como la normativa </w:t>
                      </w:r>
                    </w:p>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txbxContent>
                </v:textbox>
              </v:shape>
            </w:pict>
          </mc:Fallback>
        </mc:AlternateContent>
      </w:r>
    </w:p>
    <w:p w:rsidR="00D60D2D" w:rsidRPr="00692FAD" w:rsidRDefault="00D60D2D"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both"/>
        <w:rPr>
          <w:rFonts w:cstheme="minorHAnsi"/>
          <w:b/>
          <w:i/>
          <w:lang w:val="es-MX"/>
        </w:rPr>
      </w:pPr>
    </w:p>
    <w:p w:rsidR="00AC02B7" w:rsidRPr="00692FAD" w:rsidRDefault="00AC02B7" w:rsidP="00AC02B7">
      <w:pPr>
        <w:spacing w:after="0" w:line="360" w:lineRule="auto"/>
        <w:jc w:val="center"/>
        <w:rPr>
          <w:rFonts w:cstheme="minorHAnsi"/>
          <w:b/>
          <w:i/>
          <w:lang w:val="es-MX"/>
        </w:rPr>
      </w:pPr>
    </w:p>
    <w:p w:rsidR="00AC02B7" w:rsidRPr="00692FAD" w:rsidRDefault="00AC02B7"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AC02B7" w:rsidRPr="00692FAD" w:rsidRDefault="00D60D2D" w:rsidP="00AC02B7">
      <w:pPr>
        <w:spacing w:after="0" w:line="360" w:lineRule="auto"/>
        <w:jc w:val="center"/>
        <w:rPr>
          <w:rFonts w:cstheme="minorHAnsi"/>
          <w:b/>
          <w:i/>
          <w:lang w:val="es-MX"/>
        </w:rPr>
      </w:pPr>
      <w:r w:rsidRPr="00692FAD">
        <w:rPr>
          <w:rFonts w:cstheme="minorHAnsi"/>
          <w:noProof/>
          <w:lang w:val="es-ES" w:eastAsia="es-ES"/>
        </w:rPr>
        <w:lastRenderedPageBreak/>
        <mc:AlternateContent>
          <mc:Choice Requires="wps">
            <w:drawing>
              <wp:anchor distT="0" distB="0" distL="114300" distR="114300" simplePos="0" relativeHeight="251666432" behindDoc="0" locked="0" layoutInCell="1" allowOverlap="1" wp14:anchorId="6BF74479" wp14:editId="080AC6CE">
                <wp:simplePos x="0" y="0"/>
                <wp:positionH relativeFrom="column">
                  <wp:posOffset>80755</wp:posOffset>
                </wp:positionH>
                <wp:positionV relativeFrom="paragraph">
                  <wp:posOffset>22557</wp:posOffset>
                </wp:positionV>
                <wp:extent cx="5819775" cy="1470992"/>
                <wp:effectExtent l="0" t="0" r="28575" b="15240"/>
                <wp:wrapNone/>
                <wp:docPr id="52" name="52 Cuadro de texto"/>
                <wp:cNvGraphicFramePr/>
                <a:graphic xmlns:a="http://schemas.openxmlformats.org/drawingml/2006/main">
                  <a:graphicData uri="http://schemas.microsoft.com/office/word/2010/wordprocessingShape">
                    <wps:wsp>
                      <wps:cNvSpPr txBox="1"/>
                      <wps:spPr>
                        <a:xfrm>
                          <a:off x="0" y="0"/>
                          <a:ext cx="5819775" cy="147099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C02B7" w:rsidRPr="009417EA" w:rsidRDefault="00AC02B7" w:rsidP="009417EA">
                            <w:pPr>
                              <w:pStyle w:val="Prrafodelista"/>
                              <w:numPr>
                                <w:ilvl w:val="0"/>
                                <w:numId w:val="0"/>
                              </w:numPr>
                              <w:spacing w:after="160" w:line="259" w:lineRule="auto"/>
                              <w:ind w:left="720"/>
                              <w:jc w:val="both"/>
                              <w:rPr>
                                <w:rFonts w:cstheme="minorHAnsi"/>
                                <w:b w:val="0"/>
                                <w:bCs/>
                                <w:sz w:val="22"/>
                                <w:szCs w:val="22"/>
                              </w:rPr>
                            </w:pPr>
                            <w:r w:rsidRPr="00D60D2D">
                              <w:rPr>
                                <w:rFonts w:cstheme="minorHAnsi"/>
                                <w:b w:val="0"/>
                                <w:bCs/>
                                <w:sz w:val="22"/>
                                <w:szCs w:val="22"/>
                              </w:rPr>
                              <w:t>contable, por lo que, desde el punto de vista técnico que se configuraron las causales de intervención previstas en los numeral 1, 2 y 3 del Artículo Innumerado, Segundo Título Innumerado “INTERVENCION DE LA SUPERINTENDENCIA DE COMPAÑIAS, VALORES y SEGUROS A LOS ENTES DEL MERCADO”, a continuación del Art. 222 del Libro 2 “Ley de Mercado de Valores” contenida en el Código Orgánico Monetario y Financiero.</w:t>
                            </w:r>
                          </w:p>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2 Cuadro de texto" o:spid="_x0000_s1030" type="#_x0000_t202" style="position:absolute;left:0;text-align:left;margin-left:6.35pt;margin-top:1.8pt;width:458.25pt;height:115.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" fillcolor="white [3201]" strokeweight=".5pt">
                <v:textbox>
                  <w:txbxContent>
                    <w:p w:rsidR="00AC02B7" w:rsidRPr="009417EA" w:rsidRDefault="00AC02B7" w:rsidP="009417EA">
                      <w:pPr>
                        <w:pStyle w:val="Prrafodelista"/>
                        <w:numPr>
                          <w:ilvl w:val="0"/>
                          <w:numId w:val="0"/>
                        </w:numPr>
                        <w:spacing w:after="160" w:line="259" w:lineRule="auto"/>
                        <w:ind w:left="720"/>
                        <w:jc w:val="both"/>
                        <w:rPr>
                          <w:rFonts w:cstheme="minorHAnsi"/>
                          <w:b w:val="0"/>
                          <w:bCs/>
                          <w:sz w:val="22"/>
                          <w:szCs w:val="22"/>
                        </w:rPr>
                      </w:pPr>
                      <w:proofErr w:type="gramStart"/>
                      <w:r w:rsidRPr="00D60D2D">
                        <w:rPr>
                          <w:rFonts w:cstheme="minorHAnsi"/>
                          <w:b w:val="0"/>
                          <w:bCs/>
                          <w:sz w:val="22"/>
                          <w:szCs w:val="22"/>
                        </w:rPr>
                        <w:t>contable</w:t>
                      </w:r>
                      <w:proofErr w:type="gramEnd"/>
                      <w:r w:rsidRPr="00D60D2D">
                        <w:rPr>
                          <w:rFonts w:cstheme="minorHAnsi"/>
                          <w:b w:val="0"/>
                          <w:bCs/>
                          <w:sz w:val="22"/>
                          <w:szCs w:val="22"/>
                        </w:rPr>
                        <w:t xml:space="preserve">, por lo que, desde el punto de vista técnico que se configuraron las causales de intervención previstas en los numeral 1, 2 y 3 del Artículo </w:t>
                      </w:r>
                      <w:proofErr w:type="spellStart"/>
                      <w:r w:rsidRPr="00D60D2D">
                        <w:rPr>
                          <w:rFonts w:cstheme="minorHAnsi"/>
                          <w:b w:val="0"/>
                          <w:bCs/>
                          <w:sz w:val="22"/>
                          <w:szCs w:val="22"/>
                        </w:rPr>
                        <w:t>Innumerado</w:t>
                      </w:r>
                      <w:proofErr w:type="spellEnd"/>
                      <w:r w:rsidRPr="00D60D2D">
                        <w:rPr>
                          <w:rFonts w:cstheme="minorHAnsi"/>
                          <w:b w:val="0"/>
                          <w:bCs/>
                          <w:sz w:val="22"/>
                          <w:szCs w:val="22"/>
                        </w:rPr>
                        <w:t xml:space="preserve">, Segundo Título </w:t>
                      </w:r>
                      <w:proofErr w:type="spellStart"/>
                      <w:r w:rsidRPr="00D60D2D">
                        <w:rPr>
                          <w:rFonts w:cstheme="minorHAnsi"/>
                          <w:b w:val="0"/>
                          <w:bCs/>
                          <w:sz w:val="22"/>
                          <w:szCs w:val="22"/>
                        </w:rPr>
                        <w:t>Innumerado</w:t>
                      </w:r>
                      <w:proofErr w:type="spellEnd"/>
                      <w:r w:rsidRPr="00D60D2D">
                        <w:rPr>
                          <w:rFonts w:cstheme="minorHAnsi"/>
                          <w:b w:val="0"/>
                          <w:bCs/>
                          <w:sz w:val="22"/>
                          <w:szCs w:val="22"/>
                        </w:rPr>
                        <w:t xml:space="preserve"> “INTERVENCION DE LA SUPERINTENDENCIA DE COMPAÑIAS, VALORES y SEGUROS A LOS ENTES DEL MERCADO”, a continuación del Art. 222 del Libro 2 “Ley de Mercado de Valores” contenida en el Código Orgánico Monetario y Financiero.</w:t>
                      </w:r>
                    </w:p>
                    <w:p w:rsidR="00AC02B7" w:rsidRDefault="00AC02B7" w:rsidP="00AC02B7"/>
                    <w:p w:rsidR="00AC02B7" w:rsidRDefault="00AC02B7" w:rsidP="00AC02B7"/>
                    <w:p w:rsidR="00AC02B7" w:rsidRDefault="00AC02B7" w:rsidP="00AC02B7"/>
                    <w:p w:rsidR="00AC02B7" w:rsidRDefault="00AC02B7" w:rsidP="00AC02B7"/>
                    <w:p w:rsidR="00AC02B7" w:rsidRDefault="00AC02B7" w:rsidP="00AC02B7"/>
                    <w:p w:rsidR="00AC02B7" w:rsidRDefault="00AC02B7" w:rsidP="00AC02B7"/>
                  </w:txbxContent>
                </v:textbox>
              </v:shape>
            </w:pict>
          </mc:Fallback>
        </mc:AlternateContent>
      </w:r>
    </w:p>
    <w:p w:rsidR="00AC02B7" w:rsidRPr="00692FAD" w:rsidRDefault="00AC02B7" w:rsidP="00AC02B7">
      <w:pPr>
        <w:spacing w:after="0" w:line="360" w:lineRule="auto"/>
        <w:jc w:val="center"/>
        <w:rPr>
          <w:rFonts w:cstheme="minorHAnsi"/>
          <w:b/>
          <w:i/>
          <w:lang w:val="es-MX"/>
        </w:rPr>
      </w:pPr>
    </w:p>
    <w:p w:rsidR="00AC02B7" w:rsidRPr="00692FAD" w:rsidRDefault="00AC02B7" w:rsidP="00AC02B7">
      <w:pPr>
        <w:spacing w:after="0" w:line="360" w:lineRule="auto"/>
        <w:jc w:val="center"/>
        <w:rPr>
          <w:rFonts w:cstheme="minorHAnsi"/>
          <w:b/>
          <w:i/>
          <w:lang w:val="es-MX"/>
        </w:rPr>
      </w:pPr>
    </w:p>
    <w:p w:rsidR="00AC02B7" w:rsidRPr="00692FAD" w:rsidRDefault="00AC02B7" w:rsidP="00AC02B7">
      <w:pPr>
        <w:spacing w:after="0" w:line="360" w:lineRule="auto"/>
        <w:jc w:val="center"/>
        <w:rPr>
          <w:rFonts w:cstheme="minorHAnsi"/>
          <w:b/>
          <w:i/>
          <w:lang w:val="es-MX"/>
        </w:rPr>
      </w:pPr>
    </w:p>
    <w:p w:rsidR="00AC02B7" w:rsidRPr="00692FAD" w:rsidRDefault="00AC02B7" w:rsidP="00AC02B7">
      <w:pPr>
        <w:spacing w:after="0" w:line="360" w:lineRule="auto"/>
        <w:jc w:val="center"/>
        <w:rPr>
          <w:rFonts w:cstheme="minorHAnsi"/>
          <w:b/>
          <w:i/>
          <w:lang w:val="es-MX"/>
        </w:rPr>
      </w:pPr>
    </w:p>
    <w:p w:rsidR="00AC02B7" w:rsidRPr="00692FAD" w:rsidRDefault="00AC02B7" w:rsidP="00AC02B7">
      <w:pPr>
        <w:spacing w:after="0" w:line="360" w:lineRule="auto"/>
        <w:jc w:val="center"/>
        <w:rPr>
          <w:rFonts w:cstheme="minorHAnsi"/>
          <w:b/>
          <w:i/>
          <w:lang w:val="es-MX"/>
        </w:rPr>
      </w:pPr>
    </w:p>
    <w:p w:rsidR="00D60D2D" w:rsidRPr="00692FAD" w:rsidRDefault="00D60D2D" w:rsidP="00AC02B7">
      <w:pPr>
        <w:spacing w:after="0" w:line="360" w:lineRule="auto"/>
        <w:jc w:val="center"/>
        <w:rPr>
          <w:rFonts w:cstheme="minorHAnsi"/>
          <w:b/>
          <w:i/>
          <w:lang w:val="es-MX"/>
        </w:rPr>
      </w:pPr>
    </w:p>
    <w:p w:rsidR="00AC02B7" w:rsidRPr="00692FAD" w:rsidRDefault="00AC02B7" w:rsidP="00AC02B7">
      <w:pPr>
        <w:spacing w:after="0" w:line="360" w:lineRule="auto"/>
        <w:jc w:val="center"/>
        <w:rPr>
          <w:rFonts w:cstheme="minorHAnsi"/>
          <w:b/>
          <w:lang w:val="es-MX"/>
        </w:rPr>
      </w:pPr>
      <w:r w:rsidRPr="00692FAD">
        <w:rPr>
          <w:rFonts w:cstheme="minorHAnsi"/>
          <w:b/>
          <w:i/>
          <w:lang w:val="es-MX"/>
        </w:rPr>
        <w:t xml:space="preserve">Tabla 5.- </w:t>
      </w:r>
      <w:r w:rsidRPr="00692FAD">
        <w:rPr>
          <w:rFonts w:cstheme="minorHAnsi"/>
          <w:lang w:val="es-MX"/>
        </w:rPr>
        <w:t>Registre el número de</w:t>
      </w:r>
      <w:r w:rsidRPr="00692FAD">
        <w:rPr>
          <w:rFonts w:cstheme="minorHAnsi"/>
          <w:i/>
          <w:lang w:val="es-MX"/>
        </w:rPr>
        <w:t xml:space="preserve"> </w:t>
      </w:r>
      <w:r w:rsidRPr="00692FAD">
        <w:rPr>
          <w:rFonts w:cstheme="minorHAnsi"/>
          <w:lang w:val="es-MX"/>
        </w:rPr>
        <w:t xml:space="preserve"> Informes de Control</w:t>
      </w:r>
    </w:p>
    <w:tbl>
      <w:tblPr>
        <w:tblW w:w="6794" w:type="dxa"/>
        <w:tblInd w:w="1063" w:type="dxa"/>
        <w:tblCellMar>
          <w:left w:w="70" w:type="dxa"/>
          <w:right w:w="70" w:type="dxa"/>
        </w:tblCellMar>
        <w:tblLook w:val="04A0" w:firstRow="1" w:lastRow="0" w:firstColumn="1" w:lastColumn="0" w:noHBand="0" w:noVBand="1"/>
      </w:tblPr>
      <w:tblGrid>
        <w:gridCol w:w="5681"/>
        <w:gridCol w:w="1113"/>
      </w:tblGrid>
      <w:tr w:rsidR="00AC02B7" w:rsidRPr="00692FAD" w:rsidTr="00FD6BA4">
        <w:trPr>
          <w:trHeight w:val="315"/>
        </w:trPr>
        <w:tc>
          <w:tcPr>
            <w:tcW w:w="568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C02B7" w:rsidRPr="00692FAD" w:rsidRDefault="00AC02B7" w:rsidP="00FD6BA4">
            <w:pPr>
              <w:spacing w:after="0" w:line="240" w:lineRule="auto"/>
              <w:jc w:val="center"/>
              <w:rPr>
                <w:rFonts w:cstheme="minorHAnsi"/>
                <w:b/>
                <w:bCs/>
                <w:lang w:eastAsia="es-MX"/>
              </w:rPr>
            </w:pPr>
          </w:p>
          <w:p w:rsidR="00AC02B7" w:rsidRPr="00692FAD" w:rsidRDefault="00AC02B7" w:rsidP="00FD6BA4">
            <w:pPr>
              <w:spacing w:after="0" w:line="240" w:lineRule="auto"/>
              <w:jc w:val="center"/>
              <w:rPr>
                <w:rFonts w:cstheme="minorHAnsi"/>
                <w:b/>
                <w:bCs/>
                <w:lang w:eastAsia="es-MX"/>
              </w:rPr>
            </w:pPr>
            <w:r w:rsidRPr="00692FAD">
              <w:rPr>
                <w:rFonts w:cstheme="minorHAnsi"/>
                <w:b/>
                <w:bCs/>
                <w:lang w:eastAsia="es-MX"/>
              </w:rPr>
              <w:t>ENTE</w:t>
            </w:r>
          </w:p>
          <w:p w:rsidR="00AC02B7" w:rsidRPr="00692FAD" w:rsidRDefault="00AC02B7" w:rsidP="00FD6BA4">
            <w:pPr>
              <w:spacing w:after="0" w:line="240" w:lineRule="auto"/>
              <w:jc w:val="center"/>
              <w:rPr>
                <w:rFonts w:cstheme="minorHAnsi"/>
                <w:b/>
                <w:bCs/>
                <w:lang w:val="es-MX" w:eastAsia="es-MX"/>
              </w:rPr>
            </w:pPr>
          </w:p>
        </w:tc>
        <w:tc>
          <w:tcPr>
            <w:tcW w:w="1113" w:type="dxa"/>
            <w:tcBorders>
              <w:top w:val="single" w:sz="8" w:space="0" w:color="auto"/>
              <w:left w:val="nil"/>
              <w:bottom w:val="single" w:sz="8" w:space="0" w:color="auto"/>
              <w:right w:val="single" w:sz="8" w:space="0" w:color="auto"/>
            </w:tcBorders>
            <w:shd w:val="clear" w:color="auto" w:fill="auto"/>
            <w:vAlign w:val="center"/>
            <w:hideMark/>
          </w:tcPr>
          <w:p w:rsidR="00AC02B7" w:rsidRPr="00692FAD" w:rsidRDefault="00AC02B7" w:rsidP="00FD6BA4">
            <w:pPr>
              <w:spacing w:after="0" w:line="240" w:lineRule="auto"/>
              <w:jc w:val="center"/>
              <w:rPr>
                <w:rFonts w:cstheme="minorHAnsi"/>
                <w:b/>
                <w:bCs/>
                <w:lang w:val="es-MX" w:eastAsia="es-MX"/>
              </w:rPr>
            </w:pPr>
            <w:r w:rsidRPr="00692FAD">
              <w:rPr>
                <w:rFonts w:cstheme="minorHAnsi"/>
                <w:b/>
                <w:bCs/>
                <w:lang w:val="es-MX" w:eastAsia="es-MX"/>
              </w:rPr>
              <w:t>NÚMERO</w:t>
            </w:r>
          </w:p>
        </w:tc>
      </w:tr>
      <w:tr w:rsidR="00AC02B7" w:rsidRPr="00692FAD" w:rsidTr="00FD6BA4">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02B7" w:rsidRPr="00692FAD" w:rsidRDefault="00AC02B7" w:rsidP="00FD6BA4">
            <w:pPr>
              <w:spacing w:after="0" w:line="240" w:lineRule="auto"/>
              <w:rPr>
                <w:rFonts w:cstheme="minorHAnsi"/>
                <w:lang w:val="es-MX" w:eastAsia="es-MX"/>
              </w:rPr>
            </w:pPr>
            <w:r w:rsidRPr="00692FAD">
              <w:rPr>
                <w:rFonts w:cstheme="minorHAnsi"/>
                <w:lang w:eastAsia="es-MX"/>
              </w:rPr>
              <w:t>EMISORES / EMISION DE OBLIGACIONES</w:t>
            </w:r>
          </w:p>
        </w:tc>
        <w:tc>
          <w:tcPr>
            <w:tcW w:w="1113" w:type="dxa"/>
            <w:tcBorders>
              <w:top w:val="nil"/>
              <w:left w:val="nil"/>
              <w:bottom w:val="single" w:sz="8" w:space="0" w:color="auto"/>
              <w:right w:val="single" w:sz="8" w:space="0" w:color="auto"/>
            </w:tcBorders>
            <w:shd w:val="clear" w:color="auto" w:fill="auto"/>
            <w:noWrap/>
            <w:vAlign w:val="center"/>
          </w:tcPr>
          <w:p w:rsidR="00AC02B7" w:rsidRPr="00692FAD" w:rsidRDefault="00AC02B7" w:rsidP="009417EA">
            <w:pPr>
              <w:spacing w:after="0" w:line="240" w:lineRule="auto"/>
              <w:jc w:val="center"/>
              <w:rPr>
                <w:rFonts w:cstheme="minorHAnsi"/>
                <w:lang w:val="es-MX" w:eastAsia="es-MX"/>
              </w:rPr>
            </w:pPr>
            <w:r w:rsidRPr="00692FAD">
              <w:rPr>
                <w:rFonts w:cstheme="minorHAnsi"/>
                <w:lang w:val="es-MX" w:eastAsia="es-MX"/>
              </w:rPr>
              <w:t>136</w:t>
            </w:r>
          </w:p>
        </w:tc>
      </w:tr>
      <w:tr w:rsidR="00AC02B7" w:rsidRPr="00692FAD" w:rsidTr="00FD6BA4">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02B7" w:rsidRPr="00692FAD" w:rsidRDefault="00AC02B7" w:rsidP="00FD6BA4">
            <w:pPr>
              <w:spacing w:after="0" w:line="240" w:lineRule="auto"/>
              <w:rPr>
                <w:rFonts w:cstheme="minorHAnsi"/>
                <w:lang w:val="es-MX" w:eastAsia="es-MX"/>
              </w:rPr>
            </w:pPr>
            <w:r w:rsidRPr="00692FAD">
              <w:rPr>
                <w:rFonts w:cstheme="minorHAnsi"/>
                <w:lang w:eastAsia="es-MX"/>
              </w:rPr>
              <w:t>CALIFICADORAS DE RIESGO</w:t>
            </w:r>
          </w:p>
        </w:tc>
        <w:tc>
          <w:tcPr>
            <w:tcW w:w="1113" w:type="dxa"/>
            <w:tcBorders>
              <w:top w:val="nil"/>
              <w:left w:val="nil"/>
              <w:bottom w:val="single" w:sz="8" w:space="0" w:color="auto"/>
              <w:right w:val="single" w:sz="8" w:space="0" w:color="auto"/>
            </w:tcBorders>
            <w:shd w:val="clear" w:color="auto" w:fill="auto"/>
            <w:noWrap/>
            <w:vAlign w:val="center"/>
          </w:tcPr>
          <w:p w:rsidR="00AC02B7" w:rsidRPr="00692FAD" w:rsidRDefault="00AC02B7" w:rsidP="009417EA">
            <w:pPr>
              <w:spacing w:after="0" w:line="240" w:lineRule="auto"/>
              <w:jc w:val="center"/>
              <w:rPr>
                <w:rFonts w:cstheme="minorHAnsi"/>
                <w:lang w:val="es-MX" w:eastAsia="es-MX"/>
              </w:rPr>
            </w:pPr>
            <w:r w:rsidRPr="00692FAD">
              <w:rPr>
                <w:rFonts w:cstheme="minorHAnsi"/>
                <w:lang w:val="es-MX" w:eastAsia="es-MX"/>
              </w:rPr>
              <w:t>65</w:t>
            </w:r>
          </w:p>
        </w:tc>
      </w:tr>
      <w:tr w:rsidR="00AC02B7" w:rsidRPr="00692FAD" w:rsidTr="00FD6BA4">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02B7" w:rsidRPr="00692FAD" w:rsidRDefault="00AC02B7" w:rsidP="00FD6BA4">
            <w:pPr>
              <w:spacing w:after="0" w:line="240" w:lineRule="auto"/>
              <w:rPr>
                <w:rFonts w:cstheme="minorHAnsi"/>
                <w:lang w:val="es-MX" w:eastAsia="es-MX"/>
              </w:rPr>
            </w:pPr>
            <w:r w:rsidRPr="00692FAD">
              <w:rPr>
                <w:rFonts w:cstheme="minorHAnsi"/>
                <w:lang w:eastAsia="es-MX"/>
              </w:rPr>
              <w:t>AUDITORAS EXTERNAS</w:t>
            </w:r>
          </w:p>
        </w:tc>
        <w:tc>
          <w:tcPr>
            <w:tcW w:w="1113" w:type="dxa"/>
            <w:tcBorders>
              <w:top w:val="nil"/>
              <w:left w:val="nil"/>
              <w:bottom w:val="single" w:sz="8" w:space="0" w:color="auto"/>
              <w:right w:val="single" w:sz="8" w:space="0" w:color="auto"/>
            </w:tcBorders>
            <w:shd w:val="clear" w:color="auto" w:fill="auto"/>
            <w:noWrap/>
            <w:vAlign w:val="center"/>
          </w:tcPr>
          <w:p w:rsidR="00AC02B7" w:rsidRPr="00692FAD" w:rsidRDefault="00AC02B7" w:rsidP="009417EA">
            <w:pPr>
              <w:spacing w:after="0" w:line="240" w:lineRule="auto"/>
              <w:jc w:val="center"/>
              <w:rPr>
                <w:rFonts w:cstheme="minorHAnsi"/>
                <w:lang w:val="es-MX" w:eastAsia="es-MX"/>
              </w:rPr>
            </w:pPr>
            <w:r w:rsidRPr="00692FAD">
              <w:rPr>
                <w:rFonts w:cstheme="minorHAnsi"/>
                <w:lang w:val="es-MX" w:eastAsia="es-MX"/>
              </w:rPr>
              <w:t>13</w:t>
            </w:r>
          </w:p>
        </w:tc>
      </w:tr>
      <w:tr w:rsidR="00AC02B7" w:rsidRPr="00692FAD" w:rsidTr="00FD6BA4">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02B7" w:rsidRPr="00692FAD" w:rsidRDefault="00AC02B7" w:rsidP="00FD6BA4">
            <w:pPr>
              <w:spacing w:after="0" w:line="240" w:lineRule="auto"/>
              <w:rPr>
                <w:rFonts w:cstheme="minorHAnsi"/>
                <w:lang w:val="es-MX" w:eastAsia="es-MX"/>
              </w:rPr>
            </w:pPr>
            <w:r w:rsidRPr="00692FAD">
              <w:rPr>
                <w:rFonts w:cstheme="minorHAnsi"/>
                <w:lang w:eastAsia="es-MX"/>
              </w:rPr>
              <w:t>PROCESOS DE TITULARIZACION Y ORIGINADORES</w:t>
            </w:r>
          </w:p>
        </w:tc>
        <w:tc>
          <w:tcPr>
            <w:tcW w:w="1113" w:type="dxa"/>
            <w:tcBorders>
              <w:top w:val="nil"/>
              <w:left w:val="nil"/>
              <w:bottom w:val="single" w:sz="8" w:space="0" w:color="auto"/>
              <w:right w:val="single" w:sz="8" w:space="0" w:color="auto"/>
            </w:tcBorders>
            <w:shd w:val="clear" w:color="auto" w:fill="auto"/>
            <w:noWrap/>
            <w:vAlign w:val="center"/>
          </w:tcPr>
          <w:p w:rsidR="00AC02B7" w:rsidRPr="00692FAD" w:rsidRDefault="00AC02B7" w:rsidP="009417EA">
            <w:pPr>
              <w:spacing w:after="0" w:line="240" w:lineRule="auto"/>
              <w:jc w:val="center"/>
              <w:rPr>
                <w:rFonts w:cstheme="minorHAnsi"/>
                <w:lang w:val="es-MX" w:eastAsia="es-MX"/>
              </w:rPr>
            </w:pPr>
            <w:r w:rsidRPr="00692FAD">
              <w:rPr>
                <w:rFonts w:cstheme="minorHAnsi"/>
                <w:lang w:val="es-MX" w:eastAsia="es-MX"/>
              </w:rPr>
              <w:t>34</w:t>
            </w:r>
          </w:p>
        </w:tc>
      </w:tr>
      <w:tr w:rsidR="00AC02B7" w:rsidRPr="00692FAD" w:rsidTr="00FD6BA4">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02B7" w:rsidRPr="00692FAD" w:rsidRDefault="00AC02B7" w:rsidP="00FD6BA4">
            <w:pPr>
              <w:spacing w:after="0" w:line="240" w:lineRule="auto"/>
              <w:rPr>
                <w:rFonts w:cstheme="minorHAnsi"/>
                <w:lang w:val="es-MX" w:eastAsia="es-MX"/>
              </w:rPr>
            </w:pPr>
            <w:r w:rsidRPr="00692FAD">
              <w:rPr>
                <w:rFonts w:cstheme="minorHAnsi"/>
                <w:lang w:val="es-MX" w:eastAsia="es-MX"/>
              </w:rPr>
              <w:t>CASAS DE VALORES</w:t>
            </w:r>
          </w:p>
        </w:tc>
        <w:tc>
          <w:tcPr>
            <w:tcW w:w="1113" w:type="dxa"/>
            <w:tcBorders>
              <w:top w:val="nil"/>
              <w:left w:val="nil"/>
              <w:bottom w:val="single" w:sz="8" w:space="0" w:color="auto"/>
              <w:right w:val="single" w:sz="8" w:space="0" w:color="auto"/>
            </w:tcBorders>
            <w:shd w:val="clear" w:color="auto" w:fill="auto"/>
            <w:noWrap/>
            <w:vAlign w:val="center"/>
          </w:tcPr>
          <w:p w:rsidR="00AC02B7" w:rsidRPr="00692FAD" w:rsidRDefault="00AC02B7" w:rsidP="009417EA">
            <w:pPr>
              <w:spacing w:after="0" w:line="240" w:lineRule="auto"/>
              <w:jc w:val="center"/>
              <w:rPr>
                <w:rFonts w:cstheme="minorHAnsi"/>
                <w:lang w:val="es-MX" w:eastAsia="es-MX"/>
              </w:rPr>
            </w:pPr>
            <w:r w:rsidRPr="00692FAD">
              <w:rPr>
                <w:rFonts w:cstheme="minorHAnsi"/>
                <w:lang w:val="es-MX" w:eastAsia="es-MX"/>
              </w:rPr>
              <w:t>81</w:t>
            </w:r>
          </w:p>
        </w:tc>
      </w:tr>
      <w:tr w:rsidR="00AC02B7" w:rsidRPr="00692FAD" w:rsidTr="00FD6BA4">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02B7" w:rsidRPr="00692FAD" w:rsidRDefault="00AC02B7" w:rsidP="00FD6BA4">
            <w:pPr>
              <w:spacing w:after="0" w:line="240" w:lineRule="auto"/>
              <w:rPr>
                <w:rFonts w:cstheme="minorHAnsi"/>
                <w:lang w:val="es-MX" w:eastAsia="es-MX"/>
              </w:rPr>
            </w:pPr>
            <w:r w:rsidRPr="00692FAD">
              <w:rPr>
                <w:rFonts w:cstheme="minorHAnsi"/>
                <w:lang w:val="es-MX" w:eastAsia="es-MX"/>
              </w:rPr>
              <w:t>ADMINISTRADORAS DE FONDOS, FONDOS DE INVERSION</w:t>
            </w:r>
          </w:p>
        </w:tc>
        <w:tc>
          <w:tcPr>
            <w:tcW w:w="1113" w:type="dxa"/>
            <w:tcBorders>
              <w:top w:val="nil"/>
              <w:left w:val="nil"/>
              <w:bottom w:val="single" w:sz="8" w:space="0" w:color="auto"/>
              <w:right w:val="single" w:sz="8" w:space="0" w:color="auto"/>
            </w:tcBorders>
            <w:shd w:val="clear" w:color="auto" w:fill="auto"/>
            <w:noWrap/>
            <w:vAlign w:val="center"/>
          </w:tcPr>
          <w:p w:rsidR="00AC02B7" w:rsidRPr="00692FAD" w:rsidRDefault="00AC02B7" w:rsidP="009417EA">
            <w:pPr>
              <w:spacing w:after="0" w:line="240" w:lineRule="auto"/>
              <w:jc w:val="center"/>
              <w:rPr>
                <w:rFonts w:cstheme="minorHAnsi"/>
                <w:lang w:val="es-MX" w:eastAsia="es-MX"/>
              </w:rPr>
            </w:pPr>
            <w:r w:rsidRPr="00692FAD">
              <w:rPr>
                <w:rFonts w:cstheme="minorHAnsi"/>
                <w:lang w:val="es-MX" w:eastAsia="es-MX"/>
              </w:rPr>
              <w:t>52</w:t>
            </w:r>
          </w:p>
        </w:tc>
      </w:tr>
      <w:tr w:rsidR="00AC02B7" w:rsidRPr="00692FAD" w:rsidTr="00FD6BA4">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02B7" w:rsidRPr="00692FAD" w:rsidRDefault="00AC02B7" w:rsidP="00FD6BA4">
            <w:pPr>
              <w:spacing w:after="0" w:line="240" w:lineRule="auto"/>
              <w:rPr>
                <w:rFonts w:cstheme="minorHAnsi"/>
                <w:lang w:val="es-MX" w:eastAsia="es-MX"/>
              </w:rPr>
            </w:pPr>
            <w:r w:rsidRPr="00692FAD">
              <w:rPr>
                <w:rFonts w:cstheme="minorHAnsi"/>
                <w:lang w:val="es-MX" w:eastAsia="es-MX"/>
              </w:rPr>
              <w:t>BOLSAS DE VALORES</w:t>
            </w:r>
          </w:p>
        </w:tc>
        <w:tc>
          <w:tcPr>
            <w:tcW w:w="1113" w:type="dxa"/>
            <w:tcBorders>
              <w:top w:val="nil"/>
              <w:left w:val="nil"/>
              <w:bottom w:val="single" w:sz="8" w:space="0" w:color="auto"/>
              <w:right w:val="single" w:sz="8" w:space="0" w:color="auto"/>
            </w:tcBorders>
            <w:shd w:val="clear" w:color="auto" w:fill="auto"/>
            <w:noWrap/>
            <w:vAlign w:val="center"/>
          </w:tcPr>
          <w:p w:rsidR="00AC02B7" w:rsidRPr="00692FAD" w:rsidRDefault="00AC02B7" w:rsidP="009417EA">
            <w:pPr>
              <w:spacing w:after="0" w:line="240" w:lineRule="auto"/>
              <w:jc w:val="center"/>
              <w:rPr>
                <w:rFonts w:cstheme="minorHAnsi"/>
                <w:lang w:val="es-MX" w:eastAsia="es-MX"/>
              </w:rPr>
            </w:pPr>
            <w:r w:rsidRPr="00692FAD">
              <w:rPr>
                <w:rFonts w:cstheme="minorHAnsi"/>
                <w:lang w:val="es-MX" w:eastAsia="es-MX"/>
              </w:rPr>
              <w:t>32</w:t>
            </w:r>
          </w:p>
        </w:tc>
      </w:tr>
      <w:tr w:rsidR="00AC02B7" w:rsidRPr="00692FAD" w:rsidTr="00FD6BA4">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02B7" w:rsidRPr="00692FAD" w:rsidRDefault="00AC02B7" w:rsidP="00FD6BA4">
            <w:pPr>
              <w:spacing w:after="0" w:line="240" w:lineRule="auto"/>
              <w:rPr>
                <w:rFonts w:cstheme="minorHAnsi"/>
                <w:lang w:val="es-MX" w:eastAsia="es-MX"/>
              </w:rPr>
            </w:pPr>
            <w:r w:rsidRPr="00692FAD">
              <w:rPr>
                <w:rFonts w:cstheme="minorHAnsi"/>
                <w:lang w:val="es-MX" w:eastAsia="es-MX"/>
              </w:rPr>
              <w:t>DEPOSITOS DE VALORES</w:t>
            </w:r>
          </w:p>
        </w:tc>
        <w:tc>
          <w:tcPr>
            <w:tcW w:w="1113" w:type="dxa"/>
            <w:tcBorders>
              <w:top w:val="nil"/>
              <w:left w:val="nil"/>
              <w:bottom w:val="single" w:sz="8" w:space="0" w:color="auto"/>
              <w:right w:val="single" w:sz="8" w:space="0" w:color="auto"/>
            </w:tcBorders>
            <w:shd w:val="clear" w:color="auto" w:fill="auto"/>
            <w:noWrap/>
            <w:vAlign w:val="center"/>
          </w:tcPr>
          <w:p w:rsidR="00AC02B7" w:rsidRPr="00692FAD" w:rsidRDefault="00AC02B7" w:rsidP="009417EA">
            <w:pPr>
              <w:spacing w:after="0" w:line="240" w:lineRule="auto"/>
              <w:jc w:val="center"/>
              <w:rPr>
                <w:rFonts w:cstheme="minorHAnsi"/>
                <w:lang w:val="es-MX" w:eastAsia="es-MX"/>
              </w:rPr>
            </w:pPr>
            <w:r w:rsidRPr="00692FAD">
              <w:rPr>
                <w:rFonts w:cstheme="minorHAnsi"/>
                <w:lang w:val="es-MX" w:eastAsia="es-MX"/>
              </w:rPr>
              <w:t>4</w:t>
            </w:r>
          </w:p>
        </w:tc>
      </w:tr>
      <w:tr w:rsidR="00AC02B7" w:rsidRPr="00692FAD" w:rsidTr="00FD6BA4">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02B7" w:rsidRPr="00692FAD" w:rsidRDefault="00AC02B7" w:rsidP="00FD6BA4">
            <w:pPr>
              <w:spacing w:after="0" w:line="240" w:lineRule="auto"/>
              <w:rPr>
                <w:rFonts w:cstheme="minorHAnsi"/>
                <w:lang w:val="es-MX" w:eastAsia="es-MX"/>
              </w:rPr>
            </w:pPr>
            <w:r w:rsidRPr="00692FAD">
              <w:rPr>
                <w:rFonts w:cstheme="minorHAnsi"/>
                <w:lang w:val="es-MX" w:eastAsia="es-MX"/>
              </w:rPr>
              <w:t>CONTROLES TECNICOS ESPECIFICOS (VARIOS)</w:t>
            </w:r>
          </w:p>
        </w:tc>
        <w:tc>
          <w:tcPr>
            <w:tcW w:w="1113" w:type="dxa"/>
            <w:tcBorders>
              <w:top w:val="nil"/>
              <w:left w:val="nil"/>
              <w:bottom w:val="single" w:sz="8" w:space="0" w:color="auto"/>
              <w:right w:val="single" w:sz="8" w:space="0" w:color="auto"/>
            </w:tcBorders>
            <w:shd w:val="clear" w:color="auto" w:fill="auto"/>
            <w:noWrap/>
            <w:vAlign w:val="center"/>
          </w:tcPr>
          <w:p w:rsidR="00AC02B7" w:rsidRPr="00692FAD" w:rsidRDefault="00AC02B7" w:rsidP="009417EA">
            <w:pPr>
              <w:spacing w:after="0" w:line="240" w:lineRule="auto"/>
              <w:jc w:val="center"/>
              <w:rPr>
                <w:rFonts w:cstheme="minorHAnsi"/>
                <w:lang w:val="es-MX" w:eastAsia="es-MX"/>
              </w:rPr>
            </w:pPr>
            <w:r w:rsidRPr="00692FAD">
              <w:rPr>
                <w:rFonts w:cstheme="minorHAnsi"/>
                <w:lang w:val="es-MX" w:eastAsia="es-MX"/>
              </w:rPr>
              <w:t>47</w:t>
            </w:r>
          </w:p>
        </w:tc>
      </w:tr>
      <w:tr w:rsidR="00AC02B7" w:rsidRPr="00692FAD" w:rsidTr="00FD6BA4">
        <w:trPr>
          <w:trHeight w:val="315"/>
        </w:trPr>
        <w:tc>
          <w:tcPr>
            <w:tcW w:w="5681" w:type="dxa"/>
            <w:tcBorders>
              <w:top w:val="nil"/>
              <w:left w:val="single" w:sz="8" w:space="0" w:color="auto"/>
              <w:bottom w:val="single" w:sz="8" w:space="0" w:color="auto"/>
              <w:right w:val="single" w:sz="8" w:space="0" w:color="auto"/>
            </w:tcBorders>
            <w:shd w:val="clear" w:color="auto" w:fill="auto"/>
            <w:noWrap/>
            <w:vAlign w:val="center"/>
            <w:hideMark/>
          </w:tcPr>
          <w:p w:rsidR="00AC02B7" w:rsidRPr="00692FAD" w:rsidRDefault="00AC02B7" w:rsidP="00FD6BA4">
            <w:pPr>
              <w:spacing w:after="0" w:line="240" w:lineRule="auto"/>
              <w:jc w:val="center"/>
              <w:rPr>
                <w:rFonts w:cstheme="minorHAnsi"/>
                <w:b/>
                <w:bCs/>
                <w:lang w:eastAsia="es-MX"/>
              </w:rPr>
            </w:pPr>
          </w:p>
          <w:p w:rsidR="00AC02B7" w:rsidRPr="00692FAD" w:rsidRDefault="00AC02B7" w:rsidP="00FD6BA4">
            <w:pPr>
              <w:spacing w:after="0" w:line="240" w:lineRule="auto"/>
              <w:jc w:val="center"/>
              <w:rPr>
                <w:rFonts w:cstheme="minorHAnsi"/>
                <w:b/>
                <w:bCs/>
                <w:lang w:eastAsia="es-MX"/>
              </w:rPr>
            </w:pPr>
            <w:r w:rsidRPr="00692FAD">
              <w:rPr>
                <w:rFonts w:cstheme="minorHAnsi"/>
                <w:b/>
                <w:bCs/>
                <w:lang w:eastAsia="es-MX"/>
              </w:rPr>
              <w:t>TOTAL</w:t>
            </w:r>
          </w:p>
          <w:p w:rsidR="00AC02B7" w:rsidRPr="00692FAD" w:rsidRDefault="00AC02B7" w:rsidP="00FD6BA4">
            <w:pPr>
              <w:spacing w:after="0" w:line="240" w:lineRule="auto"/>
              <w:jc w:val="center"/>
              <w:rPr>
                <w:rFonts w:cstheme="minorHAnsi"/>
                <w:b/>
                <w:bCs/>
                <w:lang w:val="es-MX" w:eastAsia="es-MX"/>
              </w:rPr>
            </w:pPr>
          </w:p>
        </w:tc>
        <w:tc>
          <w:tcPr>
            <w:tcW w:w="1113" w:type="dxa"/>
            <w:tcBorders>
              <w:top w:val="nil"/>
              <w:left w:val="nil"/>
              <w:bottom w:val="single" w:sz="8" w:space="0" w:color="auto"/>
              <w:right w:val="single" w:sz="8" w:space="0" w:color="auto"/>
            </w:tcBorders>
            <w:shd w:val="clear" w:color="auto" w:fill="auto"/>
            <w:noWrap/>
            <w:vAlign w:val="center"/>
          </w:tcPr>
          <w:p w:rsidR="00AC02B7" w:rsidRPr="00692FAD" w:rsidRDefault="00AC02B7" w:rsidP="009417EA">
            <w:pPr>
              <w:spacing w:after="0" w:line="240" w:lineRule="auto"/>
              <w:jc w:val="center"/>
              <w:rPr>
                <w:rFonts w:cstheme="minorHAnsi"/>
                <w:b/>
                <w:bCs/>
                <w:lang w:val="es-MX" w:eastAsia="es-MX"/>
              </w:rPr>
            </w:pPr>
            <w:r w:rsidRPr="00692FAD">
              <w:rPr>
                <w:rFonts w:cstheme="minorHAnsi"/>
                <w:b/>
                <w:bCs/>
                <w:lang w:val="es-MX" w:eastAsia="es-MX"/>
              </w:rPr>
              <w:t>464</w:t>
            </w:r>
          </w:p>
        </w:tc>
      </w:tr>
    </w:tbl>
    <w:p w:rsidR="00AC02B7" w:rsidRPr="00692FAD" w:rsidRDefault="00AC02B7" w:rsidP="00AC02B7">
      <w:pPr>
        <w:spacing w:after="0" w:line="360" w:lineRule="auto"/>
        <w:jc w:val="both"/>
        <w:rPr>
          <w:rFonts w:cstheme="minorHAnsi"/>
          <w:lang w:val="es-MX"/>
        </w:rPr>
      </w:pPr>
    </w:p>
    <w:p w:rsidR="003A4522" w:rsidRPr="00692FAD" w:rsidRDefault="003A4522" w:rsidP="003A4522">
      <w:pPr>
        <w:spacing w:after="0" w:line="360" w:lineRule="auto"/>
        <w:jc w:val="both"/>
        <w:rPr>
          <w:rFonts w:cstheme="minorHAnsi"/>
          <w:lang w:val="es-MX"/>
        </w:rPr>
      </w:pPr>
      <w:bookmarkStart w:id="4" w:name="_Toc94577851"/>
      <w:r w:rsidRPr="00692FAD">
        <w:rPr>
          <w:rStyle w:val="Ttulo4Car"/>
          <w:sz w:val="22"/>
          <w:szCs w:val="22"/>
          <w:highlight w:val="yellow"/>
        </w:rPr>
        <w:t>Negocios Fiduciarios</w:t>
      </w:r>
      <w:bookmarkEnd w:id="4"/>
      <w:r w:rsidRPr="00692FAD">
        <w:rPr>
          <w:rFonts w:cstheme="minorHAnsi"/>
          <w:highlight w:val="yellow"/>
          <w:lang w:val="es-MX"/>
        </w:rPr>
        <w:t xml:space="preserve">.- </w:t>
      </w:r>
      <w:r w:rsidRPr="001E464D">
        <w:rPr>
          <w:rFonts w:cstheme="minorHAnsi"/>
          <w:lang w:val="es-MX"/>
        </w:rPr>
        <w:t>Resuma  brevemente  la gestión  realizada:</w:t>
      </w:r>
    </w:p>
    <w:p w:rsidR="00964A7A" w:rsidRPr="00692FAD" w:rsidRDefault="00964A7A" w:rsidP="00964A7A">
      <w:pPr>
        <w:tabs>
          <w:tab w:val="left" w:pos="7708"/>
        </w:tabs>
        <w:spacing w:after="0" w:line="240" w:lineRule="auto"/>
        <w:rPr>
          <w:rFonts w:eastAsia="Times New Roman" w:cstheme="minorHAnsi"/>
          <w:color w:val="000000"/>
          <w:lang w:eastAsia="es-EC"/>
        </w:rPr>
      </w:pPr>
    </w:p>
    <w:tbl>
      <w:tblPr>
        <w:tblStyle w:val="Tablaconcuadrcula"/>
        <w:tblW w:w="0" w:type="auto"/>
        <w:tblLook w:val="04A0" w:firstRow="1" w:lastRow="0" w:firstColumn="1" w:lastColumn="0" w:noHBand="0" w:noVBand="1"/>
      </w:tblPr>
      <w:tblGrid>
        <w:gridCol w:w="8978"/>
      </w:tblGrid>
      <w:tr w:rsidR="00964A7A" w:rsidRPr="00692FAD" w:rsidTr="00FD6BA4">
        <w:tc>
          <w:tcPr>
            <w:tcW w:w="8978" w:type="dxa"/>
          </w:tcPr>
          <w:p w:rsidR="00964A7A" w:rsidRPr="00692FAD" w:rsidRDefault="00964A7A" w:rsidP="00FD6BA4">
            <w:pPr>
              <w:pStyle w:val="Prrafodelista"/>
              <w:numPr>
                <w:ilvl w:val="0"/>
                <w:numId w:val="0"/>
              </w:numPr>
              <w:spacing w:line="240" w:lineRule="auto"/>
              <w:ind w:left="284"/>
              <w:jc w:val="both"/>
              <w:rPr>
                <w:rFonts w:cstheme="minorHAnsi"/>
                <w:b w:val="0"/>
                <w:sz w:val="22"/>
                <w:szCs w:val="22"/>
                <w:lang w:val="es-EC"/>
              </w:rPr>
            </w:pPr>
          </w:p>
          <w:p w:rsidR="00964A7A" w:rsidRPr="00692FAD" w:rsidRDefault="00964A7A" w:rsidP="00FD6BA4">
            <w:pPr>
              <w:jc w:val="both"/>
              <w:rPr>
                <w:rFonts w:cstheme="minorHAnsi"/>
              </w:rPr>
            </w:pPr>
            <w:r w:rsidRPr="00692FAD">
              <w:rPr>
                <w:rFonts w:cstheme="minorHAnsi"/>
              </w:rPr>
              <w:t>Realizar los informes de denuncia, seguimiento de intervención; control, inscripción, cancelación, negación, marginación con sus respectivos seguimientos; y, monitoreo de los negocios fiduciarios.</w:t>
            </w:r>
          </w:p>
          <w:p w:rsidR="00964A7A" w:rsidRPr="00692FAD" w:rsidRDefault="00964A7A" w:rsidP="00FD6BA4">
            <w:pPr>
              <w:jc w:val="both"/>
              <w:rPr>
                <w:rFonts w:cstheme="minorHAnsi"/>
              </w:rPr>
            </w:pPr>
          </w:p>
          <w:p w:rsidR="00964A7A" w:rsidRPr="00692FAD" w:rsidRDefault="00964A7A" w:rsidP="00FD6BA4">
            <w:pPr>
              <w:jc w:val="both"/>
              <w:rPr>
                <w:rFonts w:cstheme="minorHAnsi"/>
              </w:rPr>
            </w:pPr>
            <w:r w:rsidRPr="00692FAD">
              <w:rPr>
                <w:rFonts w:cstheme="minorHAnsi"/>
              </w:rPr>
              <w:t>Elaborar oficios de observaciones relacionados con los trámites sujetos a su competencia.</w:t>
            </w:r>
          </w:p>
          <w:p w:rsidR="00964A7A" w:rsidRPr="00692FAD" w:rsidRDefault="00964A7A" w:rsidP="00FD6BA4">
            <w:pPr>
              <w:jc w:val="both"/>
              <w:rPr>
                <w:rFonts w:cstheme="minorHAnsi"/>
              </w:rPr>
            </w:pPr>
            <w:r w:rsidRPr="00692FAD">
              <w:rPr>
                <w:rFonts w:cstheme="minorHAnsi"/>
              </w:rPr>
              <w:t>Elaborar memorandos en atención a requerimientos de usuarios internos- Pedidos Especiales.</w:t>
            </w:r>
          </w:p>
          <w:p w:rsidR="00964A7A" w:rsidRPr="00692FAD" w:rsidRDefault="00964A7A" w:rsidP="00FD6BA4">
            <w:pPr>
              <w:jc w:val="both"/>
              <w:rPr>
                <w:rFonts w:cstheme="minorHAnsi"/>
              </w:rPr>
            </w:pPr>
            <w:r w:rsidRPr="00692FAD">
              <w:rPr>
                <w:rFonts w:cstheme="minorHAnsi"/>
              </w:rPr>
              <w:t>Elaborar resoluciones de inscripción, cancelación, negación y marginación de los negocios fiduciarios.</w:t>
            </w:r>
          </w:p>
          <w:p w:rsidR="00964A7A" w:rsidRPr="00692FAD" w:rsidRDefault="00964A7A" w:rsidP="00FD6BA4">
            <w:pPr>
              <w:jc w:val="both"/>
              <w:rPr>
                <w:rFonts w:cstheme="minorHAnsi"/>
              </w:rPr>
            </w:pPr>
            <w:r w:rsidRPr="00692FAD">
              <w:rPr>
                <w:rFonts w:cstheme="minorHAnsi"/>
              </w:rPr>
              <w:t>Elaborar y Reportar el plan anual de control de negocios fiduciarios y el informe de labores.</w:t>
            </w:r>
          </w:p>
          <w:p w:rsidR="00964A7A" w:rsidRPr="00692FAD" w:rsidRDefault="00964A7A" w:rsidP="00FD6BA4">
            <w:pPr>
              <w:jc w:val="both"/>
              <w:rPr>
                <w:rFonts w:cstheme="minorHAnsi"/>
              </w:rPr>
            </w:pPr>
          </w:p>
          <w:p w:rsidR="00964A7A" w:rsidRPr="00692FAD" w:rsidRDefault="00964A7A" w:rsidP="00FD6BA4">
            <w:pPr>
              <w:jc w:val="both"/>
              <w:rPr>
                <w:rFonts w:cstheme="minorHAnsi"/>
              </w:rPr>
            </w:pPr>
            <w:r w:rsidRPr="00692FAD">
              <w:rPr>
                <w:rFonts w:cstheme="minorHAnsi"/>
              </w:rPr>
              <w:t xml:space="preserve">Respecto de las labores de control iniciadas en razón de las denuncias y quejas, mediante Resolución No. SCVS-IRQ-DRMV-2022-00119 de 2 de marzo de 2022, la Dirección Regional de Mercado de Valores dispuso la intervención de la compañía HEIMDALTRUST Administradora de Fondos y Fideicomisos S.A., por encontrarse incursa en la causal de intervención prevista en los </w:t>
            </w:r>
            <w:r w:rsidRPr="00692FAD">
              <w:rPr>
                <w:rFonts w:cstheme="minorHAnsi"/>
              </w:rPr>
              <w:lastRenderedPageBreak/>
              <w:t>numerales 2 y 3 del artículo innumerado, del Título innumerado "INTERVENCIÓN DE LA SUPERINTENDENCIA DE COMPAÑÍAS Y VALORES A LOS ENTES DEL MERCADO”, a continuación del Art. 222 del Libro II de la Ley de Mercado de Valores del Código Orgánico Monetario y Financiero, habiéndose designado como interventora de la Administradora a la Mgs. Ketty Amaya Aguirre.</w:t>
            </w:r>
          </w:p>
          <w:p w:rsidR="00964A7A" w:rsidRPr="00692FAD" w:rsidRDefault="00964A7A" w:rsidP="00FD6BA4">
            <w:pPr>
              <w:jc w:val="both"/>
              <w:rPr>
                <w:rFonts w:cstheme="minorHAnsi"/>
              </w:rPr>
            </w:pPr>
          </w:p>
          <w:p w:rsidR="00964A7A" w:rsidRPr="00692FAD" w:rsidRDefault="00964A7A" w:rsidP="00FD6BA4">
            <w:pPr>
              <w:jc w:val="both"/>
              <w:rPr>
                <w:rFonts w:cstheme="minorHAnsi"/>
              </w:rPr>
            </w:pPr>
            <w:r w:rsidRPr="00692FAD">
              <w:rPr>
                <w:rFonts w:cstheme="minorHAnsi"/>
              </w:rPr>
              <w:t>Adicionalmente, se determinaron actuaciones previas a la compañía HEIMDALTRUST ADMINISTRADORA DE FONDOS Y FIDEICOMISOS S.A. en calidad de fiduciaria de los Fideicomisos: ADOKASA, GREEN OIL, PURA VIDA, DE ADMINISTRACIÓN UTE, DE ADMINISTRACIÓN UTE DOS, AIQUISA; y, FINCA EL VIUDO, que derivó en la imposición de sanciones administrativas; mediante Resolución No. SCVS-IRQ-DRMV-2022-00004620 de 16 de junio de 2022, la Superintendencia de Compañías, Valores y Seguros; RESOLVIÓ: Sancionar administrativamente a la compañía HEIMDALTRUST Administradora de Fondos y Fideicomisos S.A., con una multa de USD. 148.750,00; acorde a lo dispuesto en el subnumeral 3.1 del numeral 3 del Art. 208 de la Ley de Mercado de Valores, Libro 2 del Código Orgánico Monetario y Financiero.</w:t>
            </w:r>
          </w:p>
          <w:p w:rsidR="00964A7A" w:rsidRPr="00692FAD" w:rsidRDefault="00964A7A" w:rsidP="00FD6BA4">
            <w:pPr>
              <w:jc w:val="both"/>
              <w:rPr>
                <w:rFonts w:cstheme="minorHAnsi"/>
              </w:rPr>
            </w:pPr>
          </w:p>
          <w:p w:rsidR="00964A7A" w:rsidRPr="00692FAD" w:rsidRDefault="00964A7A" w:rsidP="00FD6BA4">
            <w:pPr>
              <w:jc w:val="both"/>
              <w:rPr>
                <w:rFonts w:cstheme="minorHAnsi"/>
              </w:rPr>
            </w:pPr>
            <w:r w:rsidRPr="00692FAD">
              <w:rPr>
                <w:rFonts w:cstheme="minorHAnsi"/>
              </w:rPr>
              <w:t>Además se efectuó controles específicos a los fideicomisos: 1) CORPO SEIS, administrado por FIDUCIA S.A. Administradora de Fondos y Fideicomisos Mercantiles, al existir investigaciones por parte de la Fiscalía General del Estado, en torno a la compra de activos por parte del señor Esteban Celi, 2) FIDEICOMISO DE INVERSIÓN PUCE, administrado por FIDUCIARIA ATLANTIDA FIDUTLAN S.A. Administradora de Fondos y Fideicomisos en atención a la queja de Constituyente Adherentes relativa a la falta de aportes por parte de la PUCE al fideicomiso. 3)  Fideicomiso de Tenencia De Acciones Pocapo en razón de la denuncia  de la compañía MULTIVEST S.A., contra la Fiduciaria compañía ANEFI S.A. Administradora De Fondos y Fideicomisos. 4) FIDEICOMISO SERVICIOS DE TELEVISION POR CABLE Y TELECOMUNICACIONES STCT S.A., administrado por ANEFI S.A. Administradora de Fondos y Fideicomisos, por sentencia de Corte Provincial del Guayas a favor de hermanos Isaías.</w:t>
            </w:r>
          </w:p>
          <w:p w:rsidR="00964A7A" w:rsidRPr="00692FAD" w:rsidRDefault="00964A7A" w:rsidP="00FD6BA4">
            <w:pPr>
              <w:jc w:val="both"/>
              <w:rPr>
                <w:rFonts w:cstheme="minorHAnsi"/>
              </w:rPr>
            </w:pPr>
          </w:p>
          <w:p w:rsidR="00964A7A" w:rsidRPr="00692FAD" w:rsidRDefault="00964A7A" w:rsidP="00FD6BA4">
            <w:pPr>
              <w:jc w:val="both"/>
              <w:rPr>
                <w:rFonts w:cstheme="minorHAnsi"/>
              </w:rPr>
            </w:pPr>
            <w:r w:rsidRPr="00692FAD">
              <w:rPr>
                <w:rFonts w:cstheme="minorHAnsi"/>
              </w:rPr>
              <w:t>Se atienden denuncias por actuación fiduciaria, a los siguientes negocios fiduciarios:  FIDEICOMISO y ENCARGO FLUJOS ECUASERVOIL, FIDEICOMISO y ENCARGO MEDICOS VOZANDES, FIDEICOMISO AUQUI NUEVO, FIDEICOMISO Y ENCARGO FLUJOS ALPAJUARA.</w:t>
            </w:r>
          </w:p>
        </w:tc>
      </w:tr>
    </w:tbl>
    <w:p w:rsidR="00964A7A" w:rsidRPr="00692FAD" w:rsidRDefault="00964A7A" w:rsidP="00964A7A">
      <w:pPr>
        <w:tabs>
          <w:tab w:val="left" w:pos="7708"/>
        </w:tabs>
        <w:spacing w:after="0" w:line="240" w:lineRule="auto"/>
        <w:rPr>
          <w:rFonts w:eastAsia="Times New Roman" w:cstheme="minorHAnsi"/>
          <w:color w:val="000000"/>
          <w:lang w:eastAsia="es-EC"/>
        </w:rPr>
      </w:pPr>
    </w:p>
    <w:p w:rsidR="00964A7A" w:rsidRPr="00692FAD" w:rsidRDefault="00964A7A" w:rsidP="00964A7A">
      <w:pPr>
        <w:pStyle w:val="Epgrafe"/>
        <w:spacing w:after="0"/>
        <w:rPr>
          <w:rFonts w:cstheme="minorHAnsi"/>
          <w:b w:val="0"/>
          <w:sz w:val="22"/>
          <w:szCs w:val="22"/>
        </w:rPr>
      </w:pPr>
      <w:r w:rsidRPr="00692FAD">
        <w:rPr>
          <w:rFonts w:cstheme="minorHAnsi"/>
          <w:sz w:val="22"/>
          <w:szCs w:val="22"/>
        </w:rPr>
        <w:t xml:space="preserve">Tabla </w:t>
      </w:r>
      <w:r w:rsidRPr="00692FAD">
        <w:rPr>
          <w:rFonts w:cstheme="minorHAnsi"/>
          <w:sz w:val="22"/>
          <w:szCs w:val="22"/>
        </w:rPr>
        <w:fldChar w:fldCharType="begin"/>
      </w:r>
      <w:r w:rsidRPr="00692FAD">
        <w:rPr>
          <w:rFonts w:cstheme="minorHAnsi"/>
          <w:sz w:val="22"/>
          <w:szCs w:val="22"/>
        </w:rPr>
        <w:instrText xml:space="preserve"> SEQ Tabla \* ARABIC </w:instrText>
      </w:r>
      <w:r w:rsidRPr="00692FAD">
        <w:rPr>
          <w:rFonts w:cstheme="minorHAnsi"/>
          <w:sz w:val="22"/>
          <w:szCs w:val="22"/>
        </w:rPr>
        <w:fldChar w:fldCharType="separate"/>
      </w:r>
      <w:r w:rsidRPr="00692FAD">
        <w:rPr>
          <w:rFonts w:cstheme="minorHAnsi"/>
          <w:noProof/>
          <w:sz w:val="22"/>
          <w:szCs w:val="22"/>
        </w:rPr>
        <w:t>6</w:t>
      </w:r>
      <w:r w:rsidRPr="00692FAD">
        <w:rPr>
          <w:rFonts w:cstheme="minorHAnsi"/>
          <w:sz w:val="22"/>
          <w:szCs w:val="22"/>
        </w:rPr>
        <w:fldChar w:fldCharType="end"/>
      </w:r>
      <w:r w:rsidRPr="00692FAD">
        <w:rPr>
          <w:rFonts w:cstheme="minorHAnsi"/>
          <w:sz w:val="22"/>
          <w:szCs w:val="22"/>
        </w:rPr>
        <w:t>.-</w:t>
      </w:r>
      <w:r w:rsidRPr="00692FAD">
        <w:rPr>
          <w:rFonts w:cstheme="minorHAnsi"/>
          <w:b w:val="0"/>
          <w:sz w:val="22"/>
          <w:szCs w:val="22"/>
        </w:rPr>
        <w:t xml:space="preserve"> Actividades realizadas</w:t>
      </w:r>
    </w:p>
    <w:p w:rsidR="00964A7A" w:rsidRPr="00692FAD" w:rsidRDefault="00964A7A" w:rsidP="00964A7A">
      <w:pPr>
        <w:rPr>
          <w:rFonts w:cstheme="minorHAnsi"/>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642"/>
        <w:gridCol w:w="887"/>
      </w:tblGrid>
      <w:tr w:rsidR="00964A7A" w:rsidRPr="00692FAD" w:rsidTr="00FD6BA4">
        <w:trPr>
          <w:trHeight w:val="85"/>
          <w:jc w:val="center"/>
        </w:trPr>
        <w:tc>
          <w:tcPr>
            <w:tcW w:w="8529" w:type="dxa"/>
            <w:gridSpan w:val="2"/>
            <w:tcMar>
              <w:top w:w="0" w:type="dxa"/>
              <w:left w:w="108" w:type="dxa"/>
              <w:bottom w:w="0" w:type="dxa"/>
              <w:right w:w="108" w:type="dxa"/>
            </w:tcMar>
            <w:vAlign w:val="center"/>
            <w:hideMark/>
          </w:tcPr>
          <w:p w:rsidR="00964A7A" w:rsidRPr="00692FAD" w:rsidRDefault="00964A7A" w:rsidP="00FD6BA4">
            <w:pPr>
              <w:jc w:val="center"/>
              <w:rPr>
                <w:rFonts w:cstheme="minorHAnsi"/>
                <w:b/>
                <w:bCs/>
                <w:lang w:val="es-MX"/>
              </w:rPr>
            </w:pPr>
            <w:r w:rsidRPr="00692FAD">
              <w:rPr>
                <w:rFonts w:cstheme="minorHAnsi"/>
                <w:b/>
                <w:bCs/>
                <w:lang w:val="es-MX"/>
              </w:rPr>
              <w:t>REGISTRAR INFORMACIÓN  A NIVEL NACIONAL</w:t>
            </w:r>
          </w:p>
        </w:tc>
      </w:tr>
      <w:tr w:rsidR="00964A7A" w:rsidRPr="00692FAD" w:rsidTr="00FD6BA4">
        <w:trPr>
          <w:trHeight w:val="26"/>
          <w:jc w:val="center"/>
        </w:trPr>
        <w:tc>
          <w:tcPr>
            <w:tcW w:w="7642" w:type="dxa"/>
            <w:tcMar>
              <w:top w:w="0" w:type="dxa"/>
              <w:left w:w="108" w:type="dxa"/>
              <w:bottom w:w="0" w:type="dxa"/>
              <w:right w:w="108" w:type="dxa"/>
            </w:tcMar>
            <w:vAlign w:val="center"/>
            <w:hideMark/>
          </w:tcPr>
          <w:p w:rsidR="00964A7A" w:rsidRPr="00692FAD" w:rsidRDefault="00964A7A" w:rsidP="00FD6BA4">
            <w:pPr>
              <w:rPr>
                <w:rFonts w:cstheme="minorHAnsi"/>
                <w:lang w:val="es-MX"/>
              </w:rPr>
            </w:pPr>
            <w:r w:rsidRPr="00692FAD">
              <w:rPr>
                <w:rFonts w:cstheme="minorHAnsi"/>
                <w:lang w:val="es-MX"/>
              </w:rPr>
              <w:t>Número de Informes de Negocios Fiduciarios – Control y seguimiento</w:t>
            </w:r>
          </w:p>
        </w:tc>
        <w:tc>
          <w:tcPr>
            <w:tcW w:w="887" w:type="dxa"/>
            <w:shd w:val="clear" w:color="auto" w:fill="auto"/>
            <w:tcMar>
              <w:top w:w="0" w:type="dxa"/>
              <w:left w:w="108" w:type="dxa"/>
              <w:bottom w:w="0" w:type="dxa"/>
              <w:right w:w="108" w:type="dxa"/>
            </w:tcMar>
            <w:vAlign w:val="center"/>
          </w:tcPr>
          <w:p w:rsidR="00964A7A" w:rsidRPr="00692FAD" w:rsidRDefault="00964A7A" w:rsidP="00FD6BA4">
            <w:pPr>
              <w:jc w:val="center"/>
              <w:rPr>
                <w:rFonts w:cstheme="minorHAnsi"/>
                <w:bCs/>
                <w:lang w:val="es-MX"/>
              </w:rPr>
            </w:pPr>
            <w:r w:rsidRPr="00692FAD">
              <w:rPr>
                <w:rFonts w:cstheme="minorHAnsi"/>
                <w:bCs/>
                <w:lang w:val="es-MX"/>
              </w:rPr>
              <w:t>28</w:t>
            </w:r>
          </w:p>
        </w:tc>
      </w:tr>
      <w:tr w:rsidR="00964A7A" w:rsidRPr="00692FAD" w:rsidTr="00FD6BA4">
        <w:trPr>
          <w:trHeight w:val="80"/>
          <w:jc w:val="center"/>
        </w:trPr>
        <w:tc>
          <w:tcPr>
            <w:tcW w:w="7642" w:type="dxa"/>
            <w:tcMar>
              <w:top w:w="0" w:type="dxa"/>
              <w:left w:w="108" w:type="dxa"/>
              <w:bottom w:w="0" w:type="dxa"/>
              <w:right w:w="108" w:type="dxa"/>
            </w:tcMar>
            <w:vAlign w:val="center"/>
            <w:hideMark/>
          </w:tcPr>
          <w:p w:rsidR="00964A7A" w:rsidRPr="00692FAD" w:rsidRDefault="00964A7A" w:rsidP="00FD6BA4">
            <w:pPr>
              <w:rPr>
                <w:rFonts w:cstheme="minorHAnsi"/>
                <w:lang w:val="es-MX"/>
              </w:rPr>
            </w:pPr>
            <w:r w:rsidRPr="00692FAD">
              <w:rPr>
                <w:rFonts w:cstheme="minorHAnsi"/>
                <w:lang w:val="es-MX"/>
              </w:rPr>
              <w:t>Número de Informes de Denuncias de Negocios Fiduciarios</w:t>
            </w:r>
          </w:p>
        </w:tc>
        <w:tc>
          <w:tcPr>
            <w:tcW w:w="887" w:type="dxa"/>
            <w:shd w:val="clear" w:color="auto" w:fill="auto"/>
            <w:tcMar>
              <w:top w:w="0" w:type="dxa"/>
              <w:left w:w="108" w:type="dxa"/>
              <w:bottom w:w="0" w:type="dxa"/>
              <w:right w:w="108" w:type="dxa"/>
            </w:tcMar>
            <w:vAlign w:val="center"/>
          </w:tcPr>
          <w:p w:rsidR="00964A7A" w:rsidRPr="00692FAD" w:rsidRDefault="00964A7A" w:rsidP="00FD6BA4">
            <w:pPr>
              <w:jc w:val="center"/>
              <w:rPr>
                <w:rFonts w:cstheme="minorHAnsi"/>
                <w:bCs/>
                <w:lang w:val="es-MX"/>
              </w:rPr>
            </w:pPr>
            <w:r w:rsidRPr="00692FAD">
              <w:rPr>
                <w:rFonts w:cstheme="minorHAnsi"/>
                <w:bCs/>
                <w:lang w:val="es-MX"/>
              </w:rPr>
              <w:t>7</w:t>
            </w:r>
          </w:p>
        </w:tc>
      </w:tr>
      <w:tr w:rsidR="00964A7A" w:rsidRPr="00692FAD" w:rsidTr="00FD6BA4">
        <w:trPr>
          <w:trHeight w:val="80"/>
          <w:jc w:val="center"/>
        </w:trPr>
        <w:tc>
          <w:tcPr>
            <w:tcW w:w="7642" w:type="dxa"/>
            <w:tcMar>
              <w:top w:w="0" w:type="dxa"/>
              <w:left w:w="108" w:type="dxa"/>
              <w:bottom w:w="0" w:type="dxa"/>
              <w:right w:w="108" w:type="dxa"/>
            </w:tcMar>
            <w:vAlign w:val="center"/>
            <w:hideMark/>
          </w:tcPr>
          <w:p w:rsidR="00964A7A" w:rsidRPr="00692FAD" w:rsidRDefault="00964A7A" w:rsidP="00FD6BA4">
            <w:pPr>
              <w:rPr>
                <w:rFonts w:cstheme="minorHAnsi"/>
                <w:lang w:val="es-MX"/>
              </w:rPr>
            </w:pPr>
            <w:r w:rsidRPr="00692FAD">
              <w:rPr>
                <w:rFonts w:cstheme="minorHAnsi"/>
                <w:lang w:val="es-MX"/>
              </w:rPr>
              <w:t>Número de Informes de Inscripción, Cancelación, Marginación, Sustitución.</w:t>
            </w:r>
          </w:p>
        </w:tc>
        <w:tc>
          <w:tcPr>
            <w:tcW w:w="887" w:type="dxa"/>
            <w:shd w:val="clear" w:color="auto" w:fill="auto"/>
            <w:tcMar>
              <w:top w:w="0" w:type="dxa"/>
              <w:left w:w="108" w:type="dxa"/>
              <w:bottom w:w="0" w:type="dxa"/>
              <w:right w:w="108" w:type="dxa"/>
            </w:tcMar>
            <w:vAlign w:val="center"/>
          </w:tcPr>
          <w:p w:rsidR="00964A7A" w:rsidRPr="00692FAD" w:rsidRDefault="00964A7A" w:rsidP="00FD6BA4">
            <w:pPr>
              <w:jc w:val="center"/>
              <w:rPr>
                <w:rFonts w:cstheme="minorHAnsi"/>
                <w:bCs/>
                <w:lang w:val="es-MX"/>
              </w:rPr>
            </w:pPr>
            <w:r w:rsidRPr="00692FAD">
              <w:rPr>
                <w:rFonts w:cstheme="minorHAnsi"/>
                <w:bCs/>
                <w:lang w:val="es-MX"/>
              </w:rPr>
              <w:t>129</w:t>
            </w:r>
          </w:p>
        </w:tc>
      </w:tr>
      <w:tr w:rsidR="00964A7A" w:rsidRPr="00692FAD" w:rsidTr="00FD6BA4">
        <w:trPr>
          <w:trHeight w:val="60"/>
          <w:jc w:val="center"/>
        </w:trPr>
        <w:tc>
          <w:tcPr>
            <w:tcW w:w="7642" w:type="dxa"/>
            <w:tcMar>
              <w:top w:w="0" w:type="dxa"/>
              <w:left w:w="108" w:type="dxa"/>
              <w:bottom w:w="0" w:type="dxa"/>
              <w:right w:w="108" w:type="dxa"/>
            </w:tcMar>
            <w:vAlign w:val="center"/>
            <w:hideMark/>
          </w:tcPr>
          <w:p w:rsidR="00964A7A" w:rsidRPr="00692FAD" w:rsidRDefault="00964A7A" w:rsidP="00FD6BA4">
            <w:pPr>
              <w:rPr>
                <w:rFonts w:cstheme="minorHAnsi"/>
                <w:lang w:val="es-MX"/>
              </w:rPr>
            </w:pPr>
            <w:r w:rsidRPr="00692FAD">
              <w:rPr>
                <w:rFonts w:cstheme="minorHAnsi"/>
                <w:lang w:val="es-MX"/>
              </w:rPr>
              <w:t>Número de Resoluciones: de Inscripción, Cancelación, Marginación, Reformas y Sustitución.</w:t>
            </w:r>
          </w:p>
        </w:tc>
        <w:tc>
          <w:tcPr>
            <w:tcW w:w="887" w:type="dxa"/>
            <w:tcMar>
              <w:top w:w="0" w:type="dxa"/>
              <w:left w:w="108" w:type="dxa"/>
              <w:bottom w:w="0" w:type="dxa"/>
              <w:right w:w="108" w:type="dxa"/>
            </w:tcMar>
            <w:vAlign w:val="center"/>
          </w:tcPr>
          <w:p w:rsidR="00964A7A" w:rsidRPr="00692FAD" w:rsidRDefault="00964A7A" w:rsidP="00FD6BA4">
            <w:pPr>
              <w:jc w:val="center"/>
              <w:rPr>
                <w:rFonts w:cstheme="minorHAnsi"/>
                <w:bCs/>
                <w:lang w:val="es-MX"/>
              </w:rPr>
            </w:pPr>
            <w:r w:rsidRPr="00692FAD">
              <w:rPr>
                <w:rFonts w:cstheme="minorHAnsi"/>
                <w:bCs/>
                <w:lang w:val="es-MX"/>
              </w:rPr>
              <w:t>48</w:t>
            </w:r>
          </w:p>
        </w:tc>
      </w:tr>
      <w:tr w:rsidR="00964A7A" w:rsidRPr="00692FAD" w:rsidTr="00FD6BA4">
        <w:trPr>
          <w:trHeight w:val="80"/>
          <w:jc w:val="center"/>
        </w:trPr>
        <w:tc>
          <w:tcPr>
            <w:tcW w:w="7642" w:type="dxa"/>
            <w:tcMar>
              <w:top w:w="0" w:type="dxa"/>
              <w:left w:w="108" w:type="dxa"/>
              <w:bottom w:w="0" w:type="dxa"/>
              <w:right w:w="108" w:type="dxa"/>
            </w:tcMar>
            <w:vAlign w:val="center"/>
            <w:hideMark/>
          </w:tcPr>
          <w:p w:rsidR="00964A7A" w:rsidRPr="00692FAD" w:rsidRDefault="00964A7A" w:rsidP="00FD6BA4">
            <w:pPr>
              <w:rPr>
                <w:rFonts w:cstheme="minorHAnsi"/>
                <w:lang w:val="es-MX"/>
              </w:rPr>
            </w:pPr>
            <w:r w:rsidRPr="00692FAD">
              <w:rPr>
                <w:rFonts w:cstheme="minorHAnsi"/>
                <w:lang w:val="es-MX"/>
              </w:rPr>
              <w:t>Número de Oficios técnicos</w:t>
            </w:r>
          </w:p>
        </w:tc>
        <w:tc>
          <w:tcPr>
            <w:tcW w:w="887" w:type="dxa"/>
            <w:tcMar>
              <w:top w:w="0" w:type="dxa"/>
              <w:left w:w="108" w:type="dxa"/>
              <w:bottom w:w="0" w:type="dxa"/>
              <w:right w:w="108" w:type="dxa"/>
            </w:tcMar>
            <w:vAlign w:val="center"/>
          </w:tcPr>
          <w:p w:rsidR="00964A7A" w:rsidRPr="00692FAD" w:rsidRDefault="00964A7A" w:rsidP="00FD6BA4">
            <w:pPr>
              <w:jc w:val="center"/>
              <w:rPr>
                <w:rFonts w:cstheme="minorHAnsi"/>
                <w:bCs/>
                <w:lang w:val="es-MX"/>
              </w:rPr>
            </w:pPr>
            <w:r w:rsidRPr="00692FAD">
              <w:rPr>
                <w:rFonts w:cstheme="minorHAnsi"/>
                <w:bCs/>
                <w:lang w:val="es-MX"/>
              </w:rPr>
              <w:t>153</w:t>
            </w:r>
          </w:p>
        </w:tc>
      </w:tr>
      <w:tr w:rsidR="00964A7A" w:rsidRPr="00692FAD" w:rsidTr="00FD6BA4">
        <w:trPr>
          <w:trHeight w:val="26"/>
          <w:jc w:val="center"/>
        </w:trPr>
        <w:tc>
          <w:tcPr>
            <w:tcW w:w="7642" w:type="dxa"/>
            <w:tcMar>
              <w:top w:w="0" w:type="dxa"/>
              <w:left w:w="108" w:type="dxa"/>
              <w:bottom w:w="0" w:type="dxa"/>
              <w:right w:w="108" w:type="dxa"/>
            </w:tcMar>
            <w:vAlign w:val="center"/>
            <w:hideMark/>
          </w:tcPr>
          <w:p w:rsidR="00964A7A" w:rsidRPr="00692FAD" w:rsidRDefault="00964A7A" w:rsidP="00FD6BA4">
            <w:pPr>
              <w:rPr>
                <w:rFonts w:cstheme="minorHAnsi"/>
                <w:lang w:val="es-MX"/>
              </w:rPr>
            </w:pPr>
            <w:r w:rsidRPr="00692FAD">
              <w:rPr>
                <w:rFonts w:cstheme="minorHAnsi"/>
                <w:lang w:val="es-MX"/>
              </w:rPr>
              <w:t>Número de Memorandos</w:t>
            </w:r>
          </w:p>
        </w:tc>
        <w:tc>
          <w:tcPr>
            <w:tcW w:w="887" w:type="dxa"/>
            <w:tcMar>
              <w:top w:w="0" w:type="dxa"/>
              <w:left w:w="108" w:type="dxa"/>
              <w:bottom w:w="0" w:type="dxa"/>
              <w:right w:w="108" w:type="dxa"/>
            </w:tcMar>
            <w:vAlign w:val="center"/>
          </w:tcPr>
          <w:p w:rsidR="00964A7A" w:rsidRPr="00692FAD" w:rsidRDefault="00964A7A" w:rsidP="00FD6BA4">
            <w:pPr>
              <w:jc w:val="center"/>
              <w:rPr>
                <w:rFonts w:cstheme="minorHAnsi"/>
                <w:bCs/>
                <w:lang w:val="es-MX"/>
              </w:rPr>
            </w:pPr>
            <w:r w:rsidRPr="00692FAD">
              <w:rPr>
                <w:rFonts w:cstheme="minorHAnsi"/>
                <w:bCs/>
                <w:lang w:val="es-MX"/>
              </w:rPr>
              <w:t>227</w:t>
            </w:r>
          </w:p>
        </w:tc>
      </w:tr>
    </w:tbl>
    <w:p w:rsidR="00964A7A" w:rsidRPr="00692FAD" w:rsidRDefault="00964A7A" w:rsidP="00964A7A">
      <w:pPr>
        <w:tabs>
          <w:tab w:val="left" w:pos="7708"/>
        </w:tabs>
        <w:spacing w:after="0" w:line="240" w:lineRule="auto"/>
        <w:rPr>
          <w:rFonts w:eastAsia="Times New Roman" w:cstheme="minorHAnsi"/>
          <w:color w:val="000000"/>
          <w:lang w:eastAsia="es-EC"/>
        </w:rPr>
      </w:pPr>
    </w:p>
    <w:p w:rsidR="00964A7A" w:rsidRPr="00692FAD" w:rsidRDefault="00964A7A" w:rsidP="00964A7A">
      <w:pPr>
        <w:tabs>
          <w:tab w:val="left" w:pos="7708"/>
        </w:tabs>
        <w:spacing w:after="0" w:line="240" w:lineRule="auto"/>
        <w:rPr>
          <w:rFonts w:eastAsia="Times New Roman" w:cstheme="minorHAnsi"/>
          <w:color w:val="000000"/>
          <w:lang w:eastAsia="es-EC"/>
        </w:rPr>
      </w:pPr>
    </w:p>
    <w:tbl>
      <w:tblPr>
        <w:tblStyle w:val="Tablaconcuadrcula"/>
        <w:tblW w:w="4681" w:type="dxa"/>
        <w:jc w:val="center"/>
        <w:tblInd w:w="948" w:type="dxa"/>
        <w:tblLook w:val="04A0" w:firstRow="1" w:lastRow="0" w:firstColumn="1" w:lastColumn="0" w:noHBand="0" w:noVBand="1"/>
      </w:tblPr>
      <w:tblGrid>
        <w:gridCol w:w="3094"/>
        <w:gridCol w:w="1587"/>
      </w:tblGrid>
      <w:tr w:rsidR="00964A7A" w:rsidRPr="00692FAD" w:rsidTr="00FD6BA4">
        <w:trPr>
          <w:trHeight w:val="116"/>
          <w:jc w:val="center"/>
        </w:trPr>
        <w:tc>
          <w:tcPr>
            <w:tcW w:w="3094" w:type="dxa"/>
            <w:vAlign w:val="center"/>
          </w:tcPr>
          <w:p w:rsidR="00964A7A" w:rsidRPr="00692FAD" w:rsidRDefault="00964A7A" w:rsidP="00FD6BA4">
            <w:pPr>
              <w:jc w:val="center"/>
              <w:rPr>
                <w:rFonts w:cstheme="minorHAnsi"/>
                <w:b/>
                <w:lang w:val="es-MX"/>
              </w:rPr>
            </w:pPr>
            <w:r w:rsidRPr="00692FAD">
              <w:rPr>
                <w:rFonts w:cstheme="minorHAnsi"/>
                <w:b/>
                <w:lang w:val="es-MX"/>
              </w:rPr>
              <w:t>Actividades realizadas</w:t>
            </w:r>
          </w:p>
        </w:tc>
        <w:tc>
          <w:tcPr>
            <w:tcW w:w="1587" w:type="dxa"/>
            <w:vAlign w:val="center"/>
          </w:tcPr>
          <w:p w:rsidR="00964A7A" w:rsidRPr="00692FAD" w:rsidRDefault="00964A7A" w:rsidP="00FD6BA4">
            <w:pPr>
              <w:jc w:val="center"/>
              <w:rPr>
                <w:rFonts w:cstheme="minorHAnsi"/>
                <w:b/>
                <w:lang w:val="es-MX"/>
              </w:rPr>
            </w:pPr>
            <w:r w:rsidRPr="00692FAD">
              <w:rPr>
                <w:rFonts w:cstheme="minorHAnsi"/>
                <w:b/>
                <w:lang w:val="es-MX"/>
              </w:rPr>
              <w:t>Número</w:t>
            </w:r>
          </w:p>
        </w:tc>
      </w:tr>
      <w:tr w:rsidR="00964A7A" w:rsidRPr="00692FAD" w:rsidTr="00FD6BA4">
        <w:trPr>
          <w:trHeight w:val="59"/>
          <w:jc w:val="center"/>
        </w:trPr>
        <w:tc>
          <w:tcPr>
            <w:tcW w:w="3094" w:type="dxa"/>
            <w:vAlign w:val="center"/>
          </w:tcPr>
          <w:p w:rsidR="00964A7A" w:rsidRPr="00692FAD" w:rsidRDefault="00964A7A" w:rsidP="00FD6BA4">
            <w:pPr>
              <w:jc w:val="center"/>
              <w:rPr>
                <w:rFonts w:cstheme="minorHAnsi"/>
                <w:lang w:val="es-MX"/>
              </w:rPr>
            </w:pPr>
            <w:r w:rsidRPr="00692FAD">
              <w:rPr>
                <w:rFonts w:cstheme="minorHAnsi"/>
                <w:lang w:val="es-MX"/>
              </w:rPr>
              <w:t>Informes técnicos</w:t>
            </w:r>
          </w:p>
        </w:tc>
        <w:tc>
          <w:tcPr>
            <w:tcW w:w="1587" w:type="dxa"/>
            <w:vAlign w:val="center"/>
          </w:tcPr>
          <w:p w:rsidR="00964A7A" w:rsidRPr="00692FAD" w:rsidRDefault="00964A7A" w:rsidP="00FD6BA4">
            <w:pPr>
              <w:jc w:val="center"/>
              <w:rPr>
                <w:rFonts w:cstheme="minorHAnsi"/>
                <w:lang w:val="es-MX"/>
              </w:rPr>
            </w:pPr>
            <w:r w:rsidRPr="00692FAD">
              <w:rPr>
                <w:rFonts w:cstheme="minorHAnsi"/>
                <w:lang w:val="es-MX"/>
              </w:rPr>
              <w:t>129</w:t>
            </w:r>
          </w:p>
        </w:tc>
      </w:tr>
      <w:tr w:rsidR="00964A7A" w:rsidRPr="00692FAD" w:rsidTr="00FD6BA4">
        <w:trPr>
          <w:trHeight w:val="57"/>
          <w:jc w:val="center"/>
        </w:trPr>
        <w:tc>
          <w:tcPr>
            <w:tcW w:w="3094" w:type="dxa"/>
            <w:vAlign w:val="center"/>
          </w:tcPr>
          <w:p w:rsidR="00964A7A" w:rsidRPr="00692FAD" w:rsidRDefault="00964A7A" w:rsidP="00FD6BA4">
            <w:pPr>
              <w:jc w:val="center"/>
              <w:rPr>
                <w:rFonts w:cstheme="minorHAnsi"/>
                <w:lang w:val="es-MX"/>
              </w:rPr>
            </w:pPr>
            <w:r w:rsidRPr="00692FAD">
              <w:rPr>
                <w:rFonts w:cstheme="minorHAnsi"/>
                <w:lang w:val="es-MX"/>
              </w:rPr>
              <w:t>Resoluciones</w:t>
            </w:r>
          </w:p>
        </w:tc>
        <w:tc>
          <w:tcPr>
            <w:tcW w:w="1587" w:type="dxa"/>
            <w:vAlign w:val="center"/>
          </w:tcPr>
          <w:p w:rsidR="00964A7A" w:rsidRPr="00692FAD" w:rsidRDefault="00964A7A" w:rsidP="00FD6BA4">
            <w:pPr>
              <w:jc w:val="center"/>
              <w:rPr>
                <w:rFonts w:cstheme="minorHAnsi"/>
                <w:lang w:val="es-MX"/>
              </w:rPr>
            </w:pPr>
            <w:r w:rsidRPr="00692FAD">
              <w:rPr>
                <w:rFonts w:cstheme="minorHAnsi"/>
                <w:lang w:val="es-MX"/>
              </w:rPr>
              <w:t>48</w:t>
            </w:r>
          </w:p>
        </w:tc>
      </w:tr>
      <w:tr w:rsidR="00964A7A" w:rsidRPr="00692FAD" w:rsidTr="00FD6BA4">
        <w:trPr>
          <w:trHeight w:val="59"/>
          <w:jc w:val="center"/>
        </w:trPr>
        <w:tc>
          <w:tcPr>
            <w:tcW w:w="3094" w:type="dxa"/>
            <w:vAlign w:val="center"/>
          </w:tcPr>
          <w:p w:rsidR="00964A7A" w:rsidRPr="00692FAD" w:rsidRDefault="00964A7A" w:rsidP="00FD6BA4">
            <w:pPr>
              <w:jc w:val="center"/>
              <w:rPr>
                <w:rFonts w:cstheme="minorHAnsi"/>
                <w:lang w:val="es-MX"/>
              </w:rPr>
            </w:pPr>
            <w:r w:rsidRPr="00692FAD">
              <w:rPr>
                <w:rFonts w:cstheme="minorHAnsi"/>
                <w:lang w:val="es-MX"/>
              </w:rPr>
              <w:t>Seguimientos</w:t>
            </w:r>
          </w:p>
        </w:tc>
        <w:tc>
          <w:tcPr>
            <w:tcW w:w="1587" w:type="dxa"/>
            <w:vAlign w:val="center"/>
          </w:tcPr>
          <w:p w:rsidR="00964A7A" w:rsidRPr="00692FAD" w:rsidRDefault="00964A7A" w:rsidP="00FD6BA4">
            <w:pPr>
              <w:jc w:val="center"/>
              <w:rPr>
                <w:rFonts w:cstheme="minorHAnsi"/>
                <w:lang w:val="es-MX"/>
              </w:rPr>
            </w:pPr>
            <w:r w:rsidRPr="00692FAD">
              <w:rPr>
                <w:rFonts w:cstheme="minorHAnsi"/>
                <w:lang w:val="es-MX"/>
              </w:rPr>
              <w:t>2</w:t>
            </w:r>
          </w:p>
        </w:tc>
      </w:tr>
      <w:tr w:rsidR="00964A7A" w:rsidRPr="00692FAD" w:rsidTr="00FD6BA4">
        <w:trPr>
          <w:trHeight w:val="59"/>
          <w:jc w:val="center"/>
        </w:trPr>
        <w:tc>
          <w:tcPr>
            <w:tcW w:w="3094" w:type="dxa"/>
            <w:vAlign w:val="center"/>
          </w:tcPr>
          <w:p w:rsidR="00964A7A" w:rsidRPr="00692FAD" w:rsidRDefault="00964A7A" w:rsidP="00FD6BA4">
            <w:pPr>
              <w:jc w:val="center"/>
              <w:rPr>
                <w:rFonts w:cstheme="minorHAnsi"/>
                <w:lang w:val="es-MX"/>
              </w:rPr>
            </w:pPr>
            <w:r w:rsidRPr="00692FAD">
              <w:rPr>
                <w:rFonts w:cstheme="minorHAnsi"/>
                <w:lang w:val="es-MX"/>
              </w:rPr>
              <w:t>Controles periódicos</w:t>
            </w:r>
          </w:p>
        </w:tc>
        <w:tc>
          <w:tcPr>
            <w:tcW w:w="1587" w:type="dxa"/>
            <w:vAlign w:val="center"/>
          </w:tcPr>
          <w:p w:rsidR="00964A7A" w:rsidRPr="00692FAD" w:rsidRDefault="00964A7A" w:rsidP="00FD6BA4">
            <w:pPr>
              <w:jc w:val="center"/>
              <w:rPr>
                <w:rFonts w:cstheme="minorHAnsi"/>
                <w:lang w:val="es-MX"/>
              </w:rPr>
            </w:pPr>
            <w:r w:rsidRPr="00692FAD">
              <w:rPr>
                <w:rFonts w:cstheme="minorHAnsi"/>
                <w:lang w:val="es-MX"/>
              </w:rPr>
              <w:t>19</w:t>
            </w:r>
          </w:p>
        </w:tc>
      </w:tr>
      <w:tr w:rsidR="00964A7A" w:rsidRPr="00692FAD" w:rsidTr="00FD6BA4">
        <w:trPr>
          <w:trHeight w:val="60"/>
          <w:jc w:val="center"/>
        </w:trPr>
        <w:tc>
          <w:tcPr>
            <w:tcW w:w="3094" w:type="dxa"/>
            <w:vAlign w:val="center"/>
          </w:tcPr>
          <w:p w:rsidR="00964A7A" w:rsidRPr="00692FAD" w:rsidRDefault="00964A7A" w:rsidP="00FD6BA4">
            <w:pPr>
              <w:jc w:val="center"/>
              <w:rPr>
                <w:rFonts w:cstheme="minorHAnsi"/>
                <w:lang w:val="es-MX"/>
              </w:rPr>
            </w:pPr>
            <w:r w:rsidRPr="00692FAD">
              <w:rPr>
                <w:rFonts w:cstheme="minorHAnsi"/>
                <w:lang w:val="es-MX"/>
              </w:rPr>
              <w:t>Controles específicos</w:t>
            </w:r>
          </w:p>
        </w:tc>
        <w:tc>
          <w:tcPr>
            <w:tcW w:w="1587" w:type="dxa"/>
            <w:vAlign w:val="center"/>
          </w:tcPr>
          <w:p w:rsidR="00964A7A" w:rsidRPr="00692FAD" w:rsidRDefault="00964A7A" w:rsidP="00FD6BA4">
            <w:pPr>
              <w:jc w:val="center"/>
              <w:rPr>
                <w:rFonts w:cstheme="minorHAnsi"/>
                <w:lang w:val="es-MX"/>
              </w:rPr>
            </w:pPr>
            <w:r w:rsidRPr="00692FAD">
              <w:rPr>
                <w:rFonts w:cstheme="minorHAnsi"/>
                <w:lang w:val="es-MX"/>
              </w:rPr>
              <w:t>7</w:t>
            </w:r>
          </w:p>
        </w:tc>
      </w:tr>
    </w:tbl>
    <w:p w:rsidR="00964A7A" w:rsidRPr="00692FAD" w:rsidRDefault="00964A7A" w:rsidP="00964A7A">
      <w:pPr>
        <w:tabs>
          <w:tab w:val="left" w:pos="7708"/>
        </w:tabs>
        <w:spacing w:after="0" w:line="240" w:lineRule="auto"/>
        <w:rPr>
          <w:rFonts w:eastAsia="Times New Roman" w:cstheme="minorHAnsi"/>
          <w:color w:val="000000"/>
          <w:lang w:eastAsia="es-EC"/>
        </w:rPr>
      </w:pPr>
    </w:p>
    <w:p w:rsidR="00964A7A" w:rsidRPr="00692FAD" w:rsidRDefault="00964A7A" w:rsidP="003A4522">
      <w:pPr>
        <w:tabs>
          <w:tab w:val="left" w:pos="7708"/>
        </w:tabs>
        <w:spacing w:after="0" w:line="240" w:lineRule="auto"/>
        <w:rPr>
          <w:rFonts w:eastAsia="Times New Roman" w:cstheme="minorHAnsi"/>
          <w:color w:val="000000"/>
          <w:lang w:eastAsia="es-EC"/>
        </w:rPr>
      </w:pPr>
    </w:p>
    <w:p w:rsidR="00964A7A" w:rsidRPr="00692FAD" w:rsidRDefault="00964A7A" w:rsidP="003A4522">
      <w:pPr>
        <w:tabs>
          <w:tab w:val="left" w:pos="7708"/>
        </w:tabs>
        <w:spacing w:after="0" w:line="240" w:lineRule="auto"/>
        <w:rPr>
          <w:rFonts w:eastAsia="Times New Roman" w:cstheme="minorHAnsi"/>
          <w:color w:val="000000"/>
          <w:lang w:eastAsia="es-EC"/>
        </w:rPr>
      </w:pPr>
    </w:p>
    <w:p w:rsidR="003A4522" w:rsidRPr="00692FAD" w:rsidRDefault="003A4522" w:rsidP="003A4522">
      <w:pPr>
        <w:spacing w:after="0" w:line="360" w:lineRule="auto"/>
        <w:jc w:val="both"/>
        <w:rPr>
          <w:rFonts w:eastAsiaTheme="minorEastAsia" w:cstheme="minorHAnsi"/>
          <w:lang w:val="es-MX" w:eastAsia="es-EC"/>
        </w:rPr>
      </w:pPr>
      <w:bookmarkStart w:id="5" w:name="_Toc94577852"/>
      <w:r w:rsidRPr="00692FAD">
        <w:rPr>
          <w:rStyle w:val="Ttulo4Car"/>
          <w:sz w:val="22"/>
          <w:szCs w:val="22"/>
          <w:highlight w:val="yellow"/>
        </w:rPr>
        <w:t>Autorización y Registro</w:t>
      </w:r>
      <w:bookmarkEnd w:id="5"/>
      <w:r w:rsidRPr="00692FAD">
        <w:rPr>
          <w:rFonts w:cstheme="minorHAnsi"/>
          <w:b/>
          <w:highlight w:val="yellow"/>
          <w:u w:val="single"/>
          <w:lang w:val="es-MX"/>
        </w:rPr>
        <w:t>.</w:t>
      </w:r>
      <w:r w:rsidRPr="00692FAD">
        <w:rPr>
          <w:rFonts w:eastAsiaTheme="minorEastAsia" w:cstheme="minorHAnsi"/>
          <w:highlight w:val="yellow"/>
          <w:lang w:val="es-MX" w:eastAsia="es-EC"/>
        </w:rPr>
        <w:t xml:space="preserve"> - </w:t>
      </w:r>
      <w:r w:rsidRPr="001E464D">
        <w:rPr>
          <w:rFonts w:eastAsiaTheme="minorEastAsia" w:cstheme="minorHAnsi"/>
          <w:lang w:val="es-MX" w:eastAsia="es-EC"/>
        </w:rPr>
        <w:t>Describa brevemente la gestión realizada:</w:t>
      </w:r>
    </w:p>
    <w:p w:rsidR="003A4522" w:rsidRPr="00692FAD" w:rsidRDefault="003A4522" w:rsidP="003A4522">
      <w:pPr>
        <w:spacing w:after="0" w:line="360" w:lineRule="auto"/>
        <w:jc w:val="both"/>
        <w:rPr>
          <w:rFonts w:eastAsiaTheme="minorEastAsia" w:cstheme="minorHAnsi"/>
          <w:lang w:val="es-MX" w:eastAsia="es-EC"/>
        </w:rPr>
      </w:pPr>
      <w:r w:rsidRPr="00692FAD">
        <w:rPr>
          <w:rFonts w:eastAsiaTheme="minorEastAsia" w:cstheme="minorHAnsi"/>
          <w:lang w:val="es-MX" w:eastAsia="es-EC"/>
        </w:rPr>
        <w:t>Durante el año 202</w:t>
      </w:r>
      <w:r w:rsidR="006E60EC" w:rsidRPr="00692FAD">
        <w:rPr>
          <w:rFonts w:eastAsiaTheme="minorEastAsia" w:cstheme="minorHAnsi"/>
          <w:lang w:val="es-MX" w:eastAsia="es-EC"/>
        </w:rPr>
        <w:t>2</w:t>
      </w:r>
      <w:r w:rsidRPr="00692FAD">
        <w:rPr>
          <w:rFonts w:eastAsiaTheme="minorEastAsia" w:cstheme="minorHAnsi"/>
          <w:lang w:val="es-MX" w:eastAsia="es-EC"/>
        </w:rPr>
        <w:t xml:space="preserve">, se destaca como aspecto importante la inscripción en el Catastro Público del Mercado de Valores </w:t>
      </w:r>
      <w:r w:rsidR="006E60EC" w:rsidRPr="00692FAD">
        <w:rPr>
          <w:rFonts w:eastAsiaTheme="minorEastAsia" w:cstheme="minorHAnsi"/>
          <w:lang w:val="es-MX" w:eastAsia="es-EC"/>
        </w:rPr>
        <w:t>de los Bonos Temáticos, esto es, Bonos de Género (USD 100.0 MM), Bonos Azules (USD 79.0 MM), Bonos de Social de Género e Inclusión (USD 30.0 MM) y Bonos Sostenibles (USD 50.0 MM).</w:t>
      </w:r>
    </w:p>
    <w:p w:rsidR="006E60EC" w:rsidRPr="00692FAD" w:rsidRDefault="006E60EC" w:rsidP="003A4522">
      <w:pPr>
        <w:spacing w:after="0" w:line="360" w:lineRule="auto"/>
        <w:jc w:val="both"/>
        <w:rPr>
          <w:rFonts w:eastAsiaTheme="minorEastAsia" w:cstheme="minorHAnsi"/>
          <w:lang w:val="es-MX" w:eastAsia="es-EC"/>
        </w:rPr>
      </w:pPr>
      <w:r w:rsidRPr="00692FAD">
        <w:rPr>
          <w:rFonts w:eastAsiaTheme="minorEastAsia" w:cstheme="minorHAnsi"/>
          <w:lang w:val="es-MX" w:eastAsia="es-EC"/>
        </w:rPr>
        <w:t>Estos bonos han sido destinados para financiar proyectos de construcción sostenible; a los emprendimientos de las mujeres; al reciclaje y gestión de residuos; a impulsar la producción más limpia; al desarrollo de proyectos de agricultura, acuacultura y manufactura sostenible; a la adquisición de vehículos híbridos y eléctricos, a la compra de equipos de alta eficiencia energética, entre otros.</w:t>
      </w:r>
    </w:p>
    <w:p w:rsidR="00C9502D" w:rsidRPr="00692FAD" w:rsidRDefault="004F532F" w:rsidP="004F532F">
      <w:pPr>
        <w:spacing w:after="0" w:line="360" w:lineRule="auto"/>
        <w:jc w:val="both"/>
        <w:rPr>
          <w:rFonts w:eastAsiaTheme="minorEastAsia" w:cstheme="minorHAnsi"/>
          <w:lang w:val="es-MX" w:eastAsia="es-EC"/>
        </w:rPr>
      </w:pPr>
      <w:bookmarkStart w:id="6" w:name="_Toc94576287"/>
      <w:bookmarkStart w:id="7" w:name="_Toc94577880"/>
      <w:r w:rsidRPr="00692FAD">
        <w:rPr>
          <w:rFonts w:eastAsiaTheme="minorEastAsia" w:cstheme="minorHAnsi"/>
          <w:lang w:val="es-MX" w:eastAsia="es-EC"/>
        </w:rPr>
        <w:t>En el año 2022,</w:t>
      </w:r>
      <w:r w:rsidR="00C9502D" w:rsidRPr="00692FAD">
        <w:rPr>
          <w:rFonts w:eastAsiaTheme="minorEastAsia" w:cstheme="minorHAnsi"/>
          <w:lang w:val="es-MX" w:eastAsia="es-EC"/>
        </w:rPr>
        <w:t xml:space="preserve"> se emitieron USD 3.534.254.190,75, su mayor concentración se encuentra en las emisiones de los bonos del sector público, que durante el año 2022 ascendieron a USD 2.642.157.190,75 que corresponde al 74,7%, realizado en 2 procesos de Oferta Pública; seguido del sector financiero con el 17,1%; y, el 8,2% representó a las emisiones realizadas por el sector productivo.</w:t>
      </w:r>
    </w:p>
    <w:p w:rsidR="00C9502D" w:rsidRPr="00692FAD" w:rsidRDefault="00C9502D" w:rsidP="004F532F">
      <w:pPr>
        <w:spacing w:after="0" w:line="360" w:lineRule="auto"/>
        <w:jc w:val="both"/>
        <w:rPr>
          <w:rFonts w:eastAsiaTheme="minorEastAsia" w:cstheme="minorHAnsi"/>
          <w:lang w:val="es-MX" w:eastAsia="es-EC"/>
        </w:rPr>
      </w:pPr>
      <w:r w:rsidRPr="00692FAD">
        <w:rPr>
          <w:rFonts w:eastAsiaTheme="minorEastAsia" w:cstheme="minorHAnsi"/>
          <w:lang w:val="es-MX" w:eastAsia="es-EC"/>
        </w:rPr>
        <w:t>Respecto a las emisiones del sector financiero y no financiero, se encuentran los procesos de Obligaciones de Largo Plazo con el 14,2% (USD 501.8 MM);  seguido por los procesos de Titularización con el 6,7% (232.6 MM); y, el Papel Comercial con el 4,4% (157.7 MM).</w:t>
      </w:r>
    </w:p>
    <w:p w:rsidR="009417EA" w:rsidRDefault="009417EA" w:rsidP="004F532F">
      <w:pPr>
        <w:pStyle w:val="Epgrafe"/>
        <w:rPr>
          <w:rFonts w:cstheme="minorHAnsi"/>
          <w:sz w:val="22"/>
          <w:szCs w:val="22"/>
        </w:rPr>
      </w:pPr>
    </w:p>
    <w:p w:rsidR="009417EA" w:rsidRDefault="009417EA" w:rsidP="004F532F">
      <w:pPr>
        <w:pStyle w:val="Epgrafe"/>
        <w:rPr>
          <w:rFonts w:cstheme="minorHAnsi"/>
          <w:sz w:val="22"/>
          <w:szCs w:val="22"/>
        </w:rPr>
      </w:pPr>
    </w:p>
    <w:p w:rsidR="009417EA" w:rsidRDefault="009417EA" w:rsidP="004F532F">
      <w:pPr>
        <w:pStyle w:val="Epgrafe"/>
        <w:rPr>
          <w:rFonts w:cstheme="minorHAnsi"/>
          <w:sz w:val="22"/>
          <w:szCs w:val="22"/>
        </w:rPr>
      </w:pPr>
    </w:p>
    <w:p w:rsidR="009417EA" w:rsidRDefault="009417EA" w:rsidP="004F532F">
      <w:pPr>
        <w:pStyle w:val="Epgrafe"/>
        <w:rPr>
          <w:rFonts w:cstheme="minorHAnsi"/>
          <w:sz w:val="22"/>
          <w:szCs w:val="22"/>
        </w:rPr>
      </w:pPr>
    </w:p>
    <w:p w:rsidR="009417EA" w:rsidRDefault="009417EA" w:rsidP="004F532F">
      <w:pPr>
        <w:pStyle w:val="Epgrafe"/>
        <w:rPr>
          <w:rFonts w:cstheme="minorHAnsi"/>
          <w:sz w:val="22"/>
          <w:szCs w:val="22"/>
        </w:rPr>
      </w:pPr>
    </w:p>
    <w:p w:rsidR="009417EA" w:rsidRDefault="009417EA" w:rsidP="004F532F">
      <w:pPr>
        <w:pStyle w:val="Epgrafe"/>
        <w:rPr>
          <w:rFonts w:cstheme="minorHAnsi"/>
          <w:sz w:val="22"/>
          <w:szCs w:val="22"/>
        </w:rPr>
      </w:pPr>
    </w:p>
    <w:p w:rsidR="004F532F" w:rsidRPr="00692FAD" w:rsidRDefault="004F532F" w:rsidP="004F532F">
      <w:pPr>
        <w:pStyle w:val="Epgrafe"/>
        <w:rPr>
          <w:rFonts w:cstheme="minorHAnsi"/>
          <w:b w:val="0"/>
          <w:sz w:val="22"/>
          <w:szCs w:val="22"/>
          <w:lang w:eastAsia="es-EC"/>
        </w:rPr>
      </w:pPr>
      <w:r w:rsidRPr="00692FAD">
        <w:rPr>
          <w:rFonts w:cstheme="minorHAnsi"/>
          <w:sz w:val="22"/>
          <w:szCs w:val="22"/>
        </w:rPr>
        <w:lastRenderedPageBreak/>
        <w:t xml:space="preserve">Tabla </w:t>
      </w:r>
      <w:r w:rsidRPr="00692FAD">
        <w:rPr>
          <w:rFonts w:cstheme="minorHAnsi"/>
          <w:sz w:val="22"/>
          <w:szCs w:val="22"/>
        </w:rPr>
        <w:fldChar w:fldCharType="begin"/>
      </w:r>
      <w:r w:rsidRPr="00692FAD">
        <w:rPr>
          <w:rFonts w:cstheme="minorHAnsi"/>
          <w:sz w:val="22"/>
          <w:szCs w:val="22"/>
        </w:rPr>
        <w:instrText xml:space="preserve"> SEQ Tabla \* ARABIC </w:instrText>
      </w:r>
      <w:r w:rsidRPr="00692FAD">
        <w:rPr>
          <w:rFonts w:cstheme="minorHAnsi"/>
          <w:sz w:val="22"/>
          <w:szCs w:val="22"/>
        </w:rPr>
        <w:fldChar w:fldCharType="separate"/>
      </w:r>
      <w:r w:rsidRPr="00692FAD">
        <w:rPr>
          <w:rFonts w:cstheme="minorHAnsi"/>
          <w:noProof/>
          <w:sz w:val="22"/>
          <w:szCs w:val="22"/>
        </w:rPr>
        <w:t>7</w:t>
      </w:r>
      <w:r w:rsidRPr="00692FAD">
        <w:rPr>
          <w:rFonts w:cstheme="minorHAnsi"/>
          <w:sz w:val="22"/>
          <w:szCs w:val="22"/>
        </w:rPr>
        <w:fldChar w:fldCharType="end"/>
      </w:r>
      <w:r w:rsidRPr="00692FAD">
        <w:rPr>
          <w:rFonts w:cstheme="minorHAnsi"/>
          <w:sz w:val="22"/>
          <w:szCs w:val="22"/>
          <w:lang w:eastAsia="es-EC"/>
        </w:rPr>
        <w:t>.-</w:t>
      </w:r>
      <w:r w:rsidRPr="00692FAD">
        <w:rPr>
          <w:rFonts w:cstheme="minorHAnsi"/>
          <w:i/>
          <w:sz w:val="22"/>
          <w:szCs w:val="22"/>
          <w:lang w:eastAsia="es-EC"/>
        </w:rPr>
        <w:t xml:space="preserve"> </w:t>
      </w:r>
      <w:r w:rsidRPr="00692FAD">
        <w:rPr>
          <w:rFonts w:cstheme="minorHAnsi"/>
          <w:b w:val="0"/>
          <w:sz w:val="22"/>
          <w:szCs w:val="22"/>
          <w:lang w:eastAsia="es-EC"/>
        </w:rPr>
        <w:t>Registrar las</w:t>
      </w:r>
      <w:r w:rsidRPr="00692FAD">
        <w:rPr>
          <w:rFonts w:cstheme="minorHAnsi"/>
          <w:b w:val="0"/>
          <w:i/>
          <w:sz w:val="22"/>
          <w:szCs w:val="22"/>
          <w:lang w:eastAsia="es-EC"/>
        </w:rPr>
        <w:t xml:space="preserve"> </w:t>
      </w:r>
      <w:r w:rsidRPr="00692FAD">
        <w:rPr>
          <w:rFonts w:cstheme="minorHAnsi"/>
          <w:b w:val="0"/>
          <w:sz w:val="22"/>
          <w:szCs w:val="22"/>
          <w:lang w:eastAsia="es-EC"/>
        </w:rPr>
        <w:t>Cifras del Mercado de Valores y Ofertas Públicas, explique y grafique la tabla:</w:t>
      </w:r>
    </w:p>
    <w:tbl>
      <w:tblPr>
        <w:tblStyle w:val="Tablaconcuadrcula"/>
        <w:tblW w:w="8754" w:type="dxa"/>
        <w:tblInd w:w="534" w:type="dxa"/>
        <w:tblLook w:val="04A0" w:firstRow="1" w:lastRow="0" w:firstColumn="1" w:lastColumn="0" w:noHBand="0" w:noVBand="1"/>
      </w:tblPr>
      <w:tblGrid>
        <w:gridCol w:w="2113"/>
        <w:gridCol w:w="1457"/>
        <w:gridCol w:w="1788"/>
        <w:gridCol w:w="1653"/>
        <w:gridCol w:w="1743"/>
      </w:tblGrid>
      <w:tr w:rsidR="00C9502D" w:rsidRPr="00692FAD" w:rsidTr="009A67E9">
        <w:trPr>
          <w:trHeight w:val="853"/>
        </w:trPr>
        <w:tc>
          <w:tcPr>
            <w:tcW w:w="2235" w:type="dxa"/>
          </w:tcPr>
          <w:p w:rsidR="00C9502D" w:rsidRPr="00692FAD" w:rsidRDefault="00C9502D" w:rsidP="009A67E9">
            <w:pPr>
              <w:jc w:val="center"/>
              <w:rPr>
                <w:rFonts w:cstheme="minorHAnsi"/>
                <w:b/>
                <w:lang w:val="es-MX"/>
              </w:rPr>
            </w:pPr>
            <w:r w:rsidRPr="00692FAD">
              <w:rPr>
                <w:rFonts w:cstheme="minorHAnsi"/>
                <w:b/>
                <w:lang w:val="es-MX"/>
              </w:rPr>
              <w:t>TIPO DE VALOR</w:t>
            </w:r>
          </w:p>
          <w:p w:rsidR="00C9502D" w:rsidRPr="00692FAD" w:rsidRDefault="00C9502D" w:rsidP="009A67E9">
            <w:pPr>
              <w:jc w:val="center"/>
              <w:rPr>
                <w:rFonts w:cstheme="minorHAnsi"/>
                <w:b/>
                <w:lang w:val="es-MX"/>
              </w:rPr>
            </w:pPr>
          </w:p>
        </w:tc>
        <w:tc>
          <w:tcPr>
            <w:tcW w:w="1549" w:type="dxa"/>
          </w:tcPr>
          <w:p w:rsidR="00C9502D" w:rsidRPr="00692FAD" w:rsidRDefault="00C9502D" w:rsidP="009A67E9">
            <w:pPr>
              <w:jc w:val="center"/>
              <w:rPr>
                <w:rFonts w:cstheme="minorHAnsi"/>
                <w:b/>
                <w:lang w:val="es-MX"/>
              </w:rPr>
            </w:pPr>
            <w:r w:rsidRPr="00692FAD">
              <w:rPr>
                <w:rFonts w:cstheme="minorHAnsi"/>
                <w:b/>
                <w:lang w:val="es-MX"/>
              </w:rPr>
              <w:t>No. PROCESOS</w:t>
            </w:r>
          </w:p>
        </w:tc>
        <w:tc>
          <w:tcPr>
            <w:tcW w:w="1645" w:type="dxa"/>
          </w:tcPr>
          <w:p w:rsidR="00C9502D" w:rsidRPr="00692FAD" w:rsidRDefault="00C9502D" w:rsidP="009A67E9">
            <w:pPr>
              <w:jc w:val="center"/>
              <w:rPr>
                <w:rFonts w:cstheme="minorHAnsi"/>
                <w:b/>
                <w:lang w:val="es-MX"/>
              </w:rPr>
            </w:pPr>
            <w:r w:rsidRPr="00692FAD">
              <w:rPr>
                <w:rFonts w:cstheme="minorHAnsi"/>
                <w:b/>
                <w:lang w:val="es-MX"/>
              </w:rPr>
              <w:t>MONTO</w:t>
            </w:r>
          </w:p>
        </w:tc>
        <w:tc>
          <w:tcPr>
            <w:tcW w:w="1551" w:type="dxa"/>
          </w:tcPr>
          <w:p w:rsidR="00C9502D" w:rsidRPr="00692FAD" w:rsidRDefault="00C9502D" w:rsidP="009A67E9">
            <w:pPr>
              <w:jc w:val="center"/>
              <w:rPr>
                <w:rFonts w:cstheme="minorHAnsi"/>
                <w:b/>
                <w:lang w:val="es-MX"/>
              </w:rPr>
            </w:pPr>
            <w:r w:rsidRPr="00692FAD">
              <w:rPr>
                <w:rFonts w:cstheme="minorHAnsi"/>
                <w:b/>
                <w:lang w:val="es-MX"/>
              </w:rPr>
              <w:t>PARTICIPACIÓN  DEL TOTAL DE EMISIONES</w:t>
            </w:r>
          </w:p>
        </w:tc>
        <w:tc>
          <w:tcPr>
            <w:tcW w:w="1774" w:type="dxa"/>
          </w:tcPr>
          <w:p w:rsidR="00C9502D" w:rsidRPr="00692FAD" w:rsidRDefault="00C9502D" w:rsidP="009A67E9">
            <w:pPr>
              <w:jc w:val="center"/>
              <w:rPr>
                <w:rFonts w:cstheme="minorHAnsi"/>
                <w:b/>
                <w:lang w:val="es-MX"/>
              </w:rPr>
            </w:pPr>
            <w:r w:rsidRPr="00692FAD">
              <w:rPr>
                <w:rFonts w:cstheme="minorHAnsi"/>
                <w:b/>
                <w:lang w:val="es-MX"/>
              </w:rPr>
              <w:t xml:space="preserve">PARTICIPACIÓN del Total de emisiones del Sector Productivo  </w:t>
            </w:r>
          </w:p>
        </w:tc>
      </w:tr>
      <w:tr w:rsidR="00C9502D" w:rsidRPr="00692FAD" w:rsidTr="009A67E9">
        <w:trPr>
          <w:trHeight w:val="482"/>
        </w:trPr>
        <w:tc>
          <w:tcPr>
            <w:tcW w:w="2235" w:type="dxa"/>
          </w:tcPr>
          <w:p w:rsidR="00C9502D" w:rsidRPr="00692FAD" w:rsidRDefault="00C9502D" w:rsidP="009A67E9">
            <w:pPr>
              <w:rPr>
                <w:rFonts w:cstheme="minorHAnsi"/>
                <w:b/>
                <w:lang w:val="es-MX"/>
              </w:rPr>
            </w:pPr>
            <w:r w:rsidRPr="00692FAD">
              <w:rPr>
                <w:rFonts w:cstheme="minorHAnsi"/>
                <w:b/>
                <w:lang w:val="es-MX"/>
              </w:rPr>
              <w:t>BONOS DEL ESTADO</w:t>
            </w:r>
          </w:p>
        </w:tc>
        <w:tc>
          <w:tcPr>
            <w:tcW w:w="1549" w:type="dxa"/>
          </w:tcPr>
          <w:p w:rsidR="00C9502D" w:rsidRPr="00692FAD" w:rsidRDefault="00C9502D" w:rsidP="009A67E9">
            <w:pPr>
              <w:jc w:val="center"/>
              <w:rPr>
                <w:rFonts w:cstheme="minorHAnsi"/>
                <w:lang w:val="es-MX"/>
              </w:rPr>
            </w:pPr>
            <w:r w:rsidRPr="00692FAD">
              <w:rPr>
                <w:rFonts w:cstheme="minorHAnsi"/>
                <w:lang w:val="es-MX"/>
              </w:rPr>
              <w:t>2</w:t>
            </w:r>
          </w:p>
        </w:tc>
        <w:tc>
          <w:tcPr>
            <w:tcW w:w="1645" w:type="dxa"/>
          </w:tcPr>
          <w:p w:rsidR="00C9502D" w:rsidRPr="00692FAD" w:rsidRDefault="00C9502D" w:rsidP="009A67E9">
            <w:pPr>
              <w:rPr>
                <w:rFonts w:cstheme="minorHAnsi"/>
                <w:lang w:val="es-MX"/>
              </w:rPr>
            </w:pPr>
            <w:r w:rsidRPr="00692FAD">
              <w:rPr>
                <w:rFonts w:cstheme="minorHAnsi"/>
                <w:lang w:val="es-MX"/>
              </w:rPr>
              <w:t>2.642.157.190,75</w:t>
            </w:r>
          </w:p>
        </w:tc>
        <w:tc>
          <w:tcPr>
            <w:tcW w:w="1551" w:type="dxa"/>
          </w:tcPr>
          <w:p w:rsidR="00C9502D" w:rsidRPr="00692FAD" w:rsidRDefault="00C9502D" w:rsidP="009A67E9">
            <w:pPr>
              <w:jc w:val="center"/>
              <w:rPr>
                <w:rFonts w:cstheme="minorHAnsi"/>
                <w:lang w:val="es-MX"/>
              </w:rPr>
            </w:pPr>
            <w:r w:rsidRPr="00692FAD">
              <w:rPr>
                <w:rFonts w:cstheme="minorHAnsi"/>
                <w:lang w:val="es-MX"/>
              </w:rPr>
              <w:t>74,7%</w:t>
            </w:r>
          </w:p>
        </w:tc>
        <w:tc>
          <w:tcPr>
            <w:tcW w:w="1774" w:type="dxa"/>
          </w:tcPr>
          <w:p w:rsidR="00C9502D" w:rsidRPr="00692FAD" w:rsidRDefault="00C9502D" w:rsidP="009A67E9">
            <w:pPr>
              <w:jc w:val="center"/>
              <w:rPr>
                <w:rFonts w:cstheme="minorHAnsi"/>
                <w:lang w:val="es-MX"/>
              </w:rPr>
            </w:pPr>
          </w:p>
        </w:tc>
      </w:tr>
      <w:tr w:rsidR="00C9502D" w:rsidRPr="00692FAD" w:rsidTr="009A67E9">
        <w:trPr>
          <w:trHeight w:val="482"/>
        </w:trPr>
        <w:tc>
          <w:tcPr>
            <w:tcW w:w="2235" w:type="dxa"/>
          </w:tcPr>
          <w:p w:rsidR="00C9502D" w:rsidRPr="00692FAD" w:rsidRDefault="00C9502D" w:rsidP="009A67E9">
            <w:pPr>
              <w:rPr>
                <w:rFonts w:cstheme="minorHAnsi"/>
                <w:b/>
                <w:lang w:val="es-MX"/>
              </w:rPr>
            </w:pPr>
            <w:r w:rsidRPr="00692FAD">
              <w:rPr>
                <w:rFonts w:cstheme="minorHAnsi"/>
                <w:b/>
                <w:lang w:val="es-MX"/>
              </w:rPr>
              <w:t>Acciones</w:t>
            </w:r>
          </w:p>
        </w:tc>
        <w:tc>
          <w:tcPr>
            <w:tcW w:w="1549" w:type="dxa"/>
          </w:tcPr>
          <w:p w:rsidR="00C9502D" w:rsidRPr="00692FAD" w:rsidRDefault="00C9502D" w:rsidP="009A67E9">
            <w:pPr>
              <w:jc w:val="center"/>
              <w:rPr>
                <w:rFonts w:cstheme="minorHAnsi"/>
                <w:lang w:val="es-MX"/>
              </w:rPr>
            </w:pPr>
          </w:p>
        </w:tc>
        <w:tc>
          <w:tcPr>
            <w:tcW w:w="1645" w:type="dxa"/>
          </w:tcPr>
          <w:p w:rsidR="00C9502D" w:rsidRPr="00692FAD" w:rsidRDefault="00C9502D" w:rsidP="009A67E9">
            <w:pPr>
              <w:rPr>
                <w:rFonts w:cstheme="minorHAnsi"/>
                <w:lang w:val="es-MX"/>
              </w:rPr>
            </w:pPr>
          </w:p>
        </w:tc>
        <w:tc>
          <w:tcPr>
            <w:tcW w:w="1551" w:type="dxa"/>
          </w:tcPr>
          <w:p w:rsidR="00C9502D" w:rsidRPr="00692FAD" w:rsidRDefault="00C9502D" w:rsidP="009A67E9">
            <w:pPr>
              <w:jc w:val="center"/>
              <w:rPr>
                <w:rFonts w:cstheme="minorHAnsi"/>
                <w:lang w:val="es-MX"/>
              </w:rPr>
            </w:pPr>
          </w:p>
        </w:tc>
        <w:tc>
          <w:tcPr>
            <w:tcW w:w="1774" w:type="dxa"/>
          </w:tcPr>
          <w:p w:rsidR="00C9502D" w:rsidRPr="00692FAD" w:rsidRDefault="00C9502D" w:rsidP="009A67E9">
            <w:pPr>
              <w:jc w:val="center"/>
              <w:rPr>
                <w:rFonts w:cstheme="minorHAnsi"/>
                <w:lang w:val="es-MX"/>
              </w:rPr>
            </w:pPr>
          </w:p>
        </w:tc>
      </w:tr>
      <w:tr w:rsidR="00C9502D" w:rsidRPr="00692FAD" w:rsidTr="009A67E9">
        <w:trPr>
          <w:trHeight w:val="482"/>
        </w:trPr>
        <w:tc>
          <w:tcPr>
            <w:tcW w:w="2235" w:type="dxa"/>
          </w:tcPr>
          <w:p w:rsidR="00C9502D" w:rsidRPr="00692FAD" w:rsidRDefault="00C9502D" w:rsidP="009A67E9">
            <w:pPr>
              <w:rPr>
                <w:rFonts w:cstheme="minorHAnsi"/>
                <w:b/>
                <w:lang w:val="es-MX"/>
              </w:rPr>
            </w:pPr>
            <w:r w:rsidRPr="00692FAD">
              <w:rPr>
                <w:rFonts w:cstheme="minorHAnsi"/>
                <w:b/>
                <w:lang w:val="es-MX"/>
              </w:rPr>
              <w:t>Títulos Genéricos</w:t>
            </w:r>
          </w:p>
        </w:tc>
        <w:tc>
          <w:tcPr>
            <w:tcW w:w="1549" w:type="dxa"/>
          </w:tcPr>
          <w:p w:rsidR="00C9502D" w:rsidRPr="00692FAD" w:rsidRDefault="00C9502D" w:rsidP="009A67E9">
            <w:pPr>
              <w:jc w:val="center"/>
              <w:rPr>
                <w:rFonts w:cstheme="minorHAnsi"/>
                <w:lang w:val="es-MX"/>
              </w:rPr>
            </w:pPr>
            <w:r w:rsidRPr="00692FAD">
              <w:rPr>
                <w:rFonts w:cstheme="minorHAnsi"/>
                <w:lang w:val="es-MX"/>
              </w:rPr>
              <w:t>1</w:t>
            </w:r>
          </w:p>
        </w:tc>
        <w:tc>
          <w:tcPr>
            <w:tcW w:w="1645" w:type="dxa"/>
          </w:tcPr>
          <w:p w:rsidR="00C9502D" w:rsidRPr="00692FAD" w:rsidRDefault="00C9502D" w:rsidP="009A67E9">
            <w:pPr>
              <w:rPr>
                <w:rFonts w:cstheme="minorHAnsi"/>
                <w:lang w:val="es-MX"/>
              </w:rPr>
            </w:pPr>
          </w:p>
        </w:tc>
        <w:tc>
          <w:tcPr>
            <w:tcW w:w="1551" w:type="dxa"/>
          </w:tcPr>
          <w:p w:rsidR="00C9502D" w:rsidRPr="00692FAD" w:rsidRDefault="00C9502D" w:rsidP="009A67E9">
            <w:pPr>
              <w:jc w:val="center"/>
              <w:rPr>
                <w:rFonts w:cstheme="minorHAnsi"/>
                <w:lang w:val="es-MX"/>
              </w:rPr>
            </w:pPr>
          </w:p>
        </w:tc>
        <w:tc>
          <w:tcPr>
            <w:tcW w:w="1774" w:type="dxa"/>
          </w:tcPr>
          <w:p w:rsidR="00C9502D" w:rsidRPr="00692FAD" w:rsidRDefault="00C9502D" w:rsidP="009A67E9">
            <w:pPr>
              <w:jc w:val="center"/>
              <w:rPr>
                <w:rFonts w:cstheme="minorHAnsi"/>
                <w:lang w:val="es-MX"/>
              </w:rPr>
            </w:pPr>
          </w:p>
        </w:tc>
      </w:tr>
      <w:tr w:rsidR="00C9502D" w:rsidRPr="00692FAD" w:rsidTr="009A67E9">
        <w:trPr>
          <w:trHeight w:val="482"/>
        </w:trPr>
        <w:tc>
          <w:tcPr>
            <w:tcW w:w="2235" w:type="dxa"/>
          </w:tcPr>
          <w:p w:rsidR="00C9502D" w:rsidRPr="00692FAD" w:rsidRDefault="00C9502D" w:rsidP="009A67E9">
            <w:pPr>
              <w:rPr>
                <w:rFonts w:cstheme="minorHAnsi"/>
                <w:b/>
                <w:lang w:val="es-MX"/>
              </w:rPr>
            </w:pPr>
            <w:r w:rsidRPr="00692FAD">
              <w:rPr>
                <w:rFonts w:cstheme="minorHAnsi"/>
                <w:b/>
                <w:lang w:val="es-MX"/>
              </w:rPr>
              <w:t>CUOTAS DE PARTICIPACIÓN</w:t>
            </w:r>
          </w:p>
        </w:tc>
        <w:tc>
          <w:tcPr>
            <w:tcW w:w="1549" w:type="dxa"/>
          </w:tcPr>
          <w:p w:rsidR="00C9502D" w:rsidRPr="00692FAD" w:rsidRDefault="00C9502D" w:rsidP="009A67E9">
            <w:pPr>
              <w:jc w:val="center"/>
              <w:rPr>
                <w:rFonts w:cstheme="minorHAnsi"/>
                <w:lang w:val="es-MX"/>
              </w:rPr>
            </w:pPr>
          </w:p>
        </w:tc>
        <w:tc>
          <w:tcPr>
            <w:tcW w:w="1645" w:type="dxa"/>
          </w:tcPr>
          <w:p w:rsidR="00C9502D" w:rsidRPr="00692FAD" w:rsidRDefault="00C9502D" w:rsidP="009A67E9">
            <w:pPr>
              <w:rPr>
                <w:rFonts w:cstheme="minorHAnsi"/>
                <w:lang w:val="es-MX"/>
              </w:rPr>
            </w:pPr>
          </w:p>
        </w:tc>
        <w:tc>
          <w:tcPr>
            <w:tcW w:w="1551" w:type="dxa"/>
          </w:tcPr>
          <w:p w:rsidR="00C9502D" w:rsidRPr="00692FAD" w:rsidRDefault="00C9502D" w:rsidP="009A67E9">
            <w:pPr>
              <w:jc w:val="center"/>
              <w:rPr>
                <w:rFonts w:cstheme="minorHAnsi"/>
                <w:lang w:val="es-MX"/>
              </w:rPr>
            </w:pPr>
          </w:p>
        </w:tc>
        <w:tc>
          <w:tcPr>
            <w:tcW w:w="1774" w:type="dxa"/>
          </w:tcPr>
          <w:p w:rsidR="00C9502D" w:rsidRPr="00692FAD" w:rsidRDefault="00C9502D" w:rsidP="009A67E9">
            <w:pPr>
              <w:jc w:val="center"/>
              <w:rPr>
                <w:rFonts w:cstheme="minorHAnsi"/>
                <w:lang w:val="es-MX"/>
              </w:rPr>
            </w:pPr>
          </w:p>
        </w:tc>
      </w:tr>
      <w:tr w:rsidR="00C9502D" w:rsidRPr="00692FAD" w:rsidTr="009A67E9">
        <w:trPr>
          <w:trHeight w:val="497"/>
        </w:trPr>
        <w:tc>
          <w:tcPr>
            <w:tcW w:w="2235" w:type="dxa"/>
          </w:tcPr>
          <w:p w:rsidR="00C9502D" w:rsidRPr="00692FAD" w:rsidRDefault="00C9502D" w:rsidP="009A67E9">
            <w:pPr>
              <w:rPr>
                <w:rFonts w:cstheme="minorHAnsi"/>
                <w:b/>
                <w:lang w:val="es-MX"/>
              </w:rPr>
            </w:pPr>
            <w:r w:rsidRPr="00692FAD">
              <w:rPr>
                <w:rFonts w:cstheme="minorHAnsi"/>
                <w:b/>
                <w:lang w:val="es-MX"/>
              </w:rPr>
              <w:t>OBLIGACIONES A LARGO PLAZO</w:t>
            </w:r>
          </w:p>
        </w:tc>
        <w:tc>
          <w:tcPr>
            <w:tcW w:w="1549" w:type="dxa"/>
          </w:tcPr>
          <w:p w:rsidR="00C9502D" w:rsidRPr="00692FAD" w:rsidRDefault="00C9502D" w:rsidP="009A67E9">
            <w:pPr>
              <w:jc w:val="center"/>
              <w:rPr>
                <w:rFonts w:cstheme="minorHAnsi"/>
                <w:lang w:val="es-MX"/>
              </w:rPr>
            </w:pPr>
            <w:r w:rsidRPr="00692FAD">
              <w:rPr>
                <w:rFonts w:cstheme="minorHAnsi"/>
                <w:lang w:val="es-MX"/>
              </w:rPr>
              <w:t>24</w:t>
            </w:r>
          </w:p>
        </w:tc>
        <w:tc>
          <w:tcPr>
            <w:tcW w:w="1645" w:type="dxa"/>
          </w:tcPr>
          <w:p w:rsidR="00C9502D" w:rsidRPr="00692FAD" w:rsidRDefault="00C9502D" w:rsidP="009A67E9">
            <w:pPr>
              <w:rPr>
                <w:rFonts w:cstheme="minorHAnsi"/>
                <w:lang w:val="es-MX"/>
              </w:rPr>
            </w:pPr>
            <w:r w:rsidRPr="00692FAD">
              <w:rPr>
                <w:rFonts w:cstheme="minorHAnsi"/>
                <w:lang w:val="es-MX"/>
              </w:rPr>
              <w:t>501.800.000,00</w:t>
            </w:r>
          </w:p>
        </w:tc>
        <w:tc>
          <w:tcPr>
            <w:tcW w:w="1551" w:type="dxa"/>
          </w:tcPr>
          <w:p w:rsidR="00C9502D" w:rsidRPr="00692FAD" w:rsidRDefault="00C9502D" w:rsidP="009A67E9">
            <w:pPr>
              <w:jc w:val="center"/>
              <w:rPr>
                <w:rFonts w:cstheme="minorHAnsi"/>
                <w:lang w:val="es-MX"/>
              </w:rPr>
            </w:pPr>
            <w:r w:rsidRPr="00692FAD">
              <w:rPr>
                <w:rFonts w:cstheme="minorHAnsi"/>
                <w:lang w:val="es-MX"/>
              </w:rPr>
              <w:t>14,2%</w:t>
            </w:r>
          </w:p>
        </w:tc>
        <w:tc>
          <w:tcPr>
            <w:tcW w:w="1774" w:type="dxa"/>
          </w:tcPr>
          <w:p w:rsidR="00C9502D" w:rsidRPr="00692FAD" w:rsidRDefault="00C9502D" w:rsidP="009A67E9">
            <w:pPr>
              <w:jc w:val="center"/>
              <w:rPr>
                <w:rFonts w:cstheme="minorHAnsi"/>
                <w:lang w:val="es-MX"/>
              </w:rPr>
            </w:pPr>
            <w:r w:rsidRPr="00692FAD">
              <w:rPr>
                <w:rFonts w:cstheme="minorHAnsi"/>
                <w:lang w:val="es-MX"/>
              </w:rPr>
              <w:t>3,4%</w:t>
            </w:r>
          </w:p>
        </w:tc>
      </w:tr>
      <w:tr w:rsidR="00C9502D" w:rsidRPr="00692FAD" w:rsidTr="009A67E9">
        <w:trPr>
          <w:trHeight w:val="482"/>
        </w:trPr>
        <w:tc>
          <w:tcPr>
            <w:tcW w:w="2235" w:type="dxa"/>
          </w:tcPr>
          <w:p w:rsidR="00C9502D" w:rsidRPr="00692FAD" w:rsidRDefault="00C9502D" w:rsidP="009A67E9">
            <w:pPr>
              <w:rPr>
                <w:rFonts w:cstheme="minorHAnsi"/>
                <w:b/>
                <w:lang w:val="es-MX"/>
              </w:rPr>
            </w:pPr>
            <w:r w:rsidRPr="00692FAD">
              <w:rPr>
                <w:rFonts w:cstheme="minorHAnsi"/>
                <w:b/>
                <w:lang w:val="es-MX"/>
              </w:rPr>
              <w:t>PAPEL COMERCIAL</w:t>
            </w:r>
          </w:p>
        </w:tc>
        <w:tc>
          <w:tcPr>
            <w:tcW w:w="1549" w:type="dxa"/>
          </w:tcPr>
          <w:p w:rsidR="00C9502D" w:rsidRPr="00692FAD" w:rsidRDefault="00C9502D" w:rsidP="009A67E9">
            <w:pPr>
              <w:jc w:val="center"/>
              <w:rPr>
                <w:rFonts w:cstheme="minorHAnsi"/>
                <w:lang w:val="es-MX"/>
              </w:rPr>
            </w:pPr>
            <w:r w:rsidRPr="00692FAD">
              <w:rPr>
                <w:rFonts w:cstheme="minorHAnsi"/>
                <w:lang w:val="es-MX"/>
              </w:rPr>
              <w:t>15</w:t>
            </w:r>
          </w:p>
        </w:tc>
        <w:tc>
          <w:tcPr>
            <w:tcW w:w="1645" w:type="dxa"/>
          </w:tcPr>
          <w:p w:rsidR="00C9502D" w:rsidRPr="00692FAD" w:rsidRDefault="00C9502D" w:rsidP="009A67E9">
            <w:pPr>
              <w:rPr>
                <w:rFonts w:cstheme="minorHAnsi"/>
                <w:lang w:val="es-MX"/>
              </w:rPr>
            </w:pPr>
            <w:r w:rsidRPr="00692FAD">
              <w:rPr>
                <w:rFonts w:cstheme="minorHAnsi"/>
                <w:lang w:val="es-MX"/>
              </w:rPr>
              <w:t>157.700.000,00</w:t>
            </w:r>
          </w:p>
        </w:tc>
        <w:tc>
          <w:tcPr>
            <w:tcW w:w="1551" w:type="dxa"/>
          </w:tcPr>
          <w:p w:rsidR="00C9502D" w:rsidRPr="00692FAD" w:rsidRDefault="00C9502D" w:rsidP="009A67E9">
            <w:pPr>
              <w:jc w:val="center"/>
              <w:rPr>
                <w:rFonts w:cstheme="minorHAnsi"/>
                <w:lang w:val="es-MX"/>
              </w:rPr>
            </w:pPr>
            <w:r w:rsidRPr="00692FAD">
              <w:rPr>
                <w:rFonts w:cstheme="minorHAnsi"/>
                <w:lang w:val="es-MX"/>
              </w:rPr>
              <w:t>4,4%</w:t>
            </w:r>
          </w:p>
        </w:tc>
        <w:tc>
          <w:tcPr>
            <w:tcW w:w="1774" w:type="dxa"/>
          </w:tcPr>
          <w:p w:rsidR="00C9502D" w:rsidRPr="00692FAD" w:rsidRDefault="00C9502D" w:rsidP="009A67E9">
            <w:pPr>
              <w:jc w:val="center"/>
              <w:rPr>
                <w:rFonts w:cstheme="minorHAnsi"/>
                <w:lang w:val="es-MX"/>
              </w:rPr>
            </w:pPr>
            <w:r w:rsidRPr="00692FAD">
              <w:rPr>
                <w:rFonts w:cstheme="minorHAnsi"/>
                <w:lang w:val="es-MX"/>
              </w:rPr>
              <w:t>4,4%</w:t>
            </w:r>
          </w:p>
        </w:tc>
      </w:tr>
      <w:tr w:rsidR="00C9502D" w:rsidRPr="00692FAD" w:rsidTr="009A67E9">
        <w:trPr>
          <w:trHeight w:val="634"/>
        </w:trPr>
        <w:tc>
          <w:tcPr>
            <w:tcW w:w="2235" w:type="dxa"/>
          </w:tcPr>
          <w:p w:rsidR="00C9502D" w:rsidRPr="00692FAD" w:rsidRDefault="00C9502D" w:rsidP="009A67E9">
            <w:pPr>
              <w:rPr>
                <w:rFonts w:cstheme="minorHAnsi"/>
                <w:b/>
                <w:lang w:val="es-MX"/>
              </w:rPr>
            </w:pPr>
            <w:r w:rsidRPr="00692FAD">
              <w:rPr>
                <w:rFonts w:cstheme="minorHAnsi"/>
                <w:b/>
                <w:lang w:val="es-MX"/>
              </w:rPr>
              <w:t>PROCESOS DE TITULARIZACIÓN</w:t>
            </w:r>
          </w:p>
        </w:tc>
        <w:tc>
          <w:tcPr>
            <w:tcW w:w="1549" w:type="dxa"/>
          </w:tcPr>
          <w:p w:rsidR="00C9502D" w:rsidRPr="00692FAD" w:rsidRDefault="00C9502D" w:rsidP="009A67E9">
            <w:pPr>
              <w:jc w:val="center"/>
              <w:rPr>
                <w:rFonts w:cstheme="minorHAnsi"/>
                <w:lang w:val="es-MX"/>
              </w:rPr>
            </w:pPr>
            <w:r w:rsidRPr="00692FAD">
              <w:rPr>
                <w:rFonts w:cstheme="minorHAnsi"/>
                <w:lang w:val="es-MX"/>
              </w:rPr>
              <w:t>5</w:t>
            </w:r>
          </w:p>
        </w:tc>
        <w:tc>
          <w:tcPr>
            <w:tcW w:w="1645" w:type="dxa"/>
          </w:tcPr>
          <w:p w:rsidR="00C9502D" w:rsidRPr="00692FAD" w:rsidRDefault="00C9502D" w:rsidP="009A67E9">
            <w:pPr>
              <w:rPr>
                <w:rFonts w:cstheme="minorHAnsi"/>
                <w:lang w:val="es-MX"/>
              </w:rPr>
            </w:pPr>
            <w:r w:rsidRPr="00692FAD">
              <w:rPr>
                <w:rFonts w:cstheme="minorHAnsi"/>
                <w:lang w:val="es-MX"/>
              </w:rPr>
              <w:t>232.597.000,00</w:t>
            </w:r>
          </w:p>
        </w:tc>
        <w:tc>
          <w:tcPr>
            <w:tcW w:w="1551" w:type="dxa"/>
          </w:tcPr>
          <w:p w:rsidR="00C9502D" w:rsidRPr="00692FAD" w:rsidRDefault="00C9502D" w:rsidP="009A67E9">
            <w:pPr>
              <w:jc w:val="center"/>
              <w:rPr>
                <w:rFonts w:cstheme="minorHAnsi"/>
                <w:lang w:val="es-MX"/>
              </w:rPr>
            </w:pPr>
            <w:r w:rsidRPr="00692FAD">
              <w:rPr>
                <w:rFonts w:cstheme="minorHAnsi"/>
                <w:lang w:val="es-MX"/>
              </w:rPr>
              <w:t>6,7%</w:t>
            </w:r>
          </w:p>
        </w:tc>
        <w:tc>
          <w:tcPr>
            <w:tcW w:w="1774" w:type="dxa"/>
          </w:tcPr>
          <w:p w:rsidR="00C9502D" w:rsidRPr="00692FAD" w:rsidRDefault="00C9502D" w:rsidP="009A67E9">
            <w:pPr>
              <w:jc w:val="center"/>
              <w:rPr>
                <w:rFonts w:cstheme="minorHAnsi"/>
                <w:lang w:val="es-MX"/>
              </w:rPr>
            </w:pPr>
            <w:r w:rsidRPr="00692FAD">
              <w:rPr>
                <w:rFonts w:cstheme="minorHAnsi"/>
                <w:lang w:val="es-MX"/>
              </w:rPr>
              <w:t>0,4%</w:t>
            </w:r>
          </w:p>
        </w:tc>
      </w:tr>
      <w:tr w:rsidR="00C9502D" w:rsidRPr="00692FAD" w:rsidTr="009A67E9">
        <w:trPr>
          <w:trHeight w:val="482"/>
        </w:trPr>
        <w:tc>
          <w:tcPr>
            <w:tcW w:w="2235" w:type="dxa"/>
          </w:tcPr>
          <w:p w:rsidR="00C9502D" w:rsidRPr="00692FAD" w:rsidRDefault="00C9502D" w:rsidP="009A67E9">
            <w:pPr>
              <w:rPr>
                <w:rFonts w:cstheme="minorHAnsi"/>
                <w:b/>
                <w:lang w:val="es-MX"/>
              </w:rPr>
            </w:pPr>
            <w:r w:rsidRPr="00692FAD">
              <w:rPr>
                <w:rFonts w:cstheme="minorHAnsi"/>
                <w:b/>
                <w:lang w:val="es-MX"/>
              </w:rPr>
              <w:t xml:space="preserve">TOTAL </w:t>
            </w:r>
          </w:p>
          <w:p w:rsidR="00C9502D" w:rsidRPr="00692FAD" w:rsidRDefault="00C9502D" w:rsidP="009A67E9">
            <w:pPr>
              <w:rPr>
                <w:rFonts w:cstheme="minorHAnsi"/>
                <w:b/>
                <w:lang w:val="es-MX"/>
              </w:rPr>
            </w:pPr>
          </w:p>
        </w:tc>
        <w:tc>
          <w:tcPr>
            <w:tcW w:w="1549" w:type="dxa"/>
          </w:tcPr>
          <w:p w:rsidR="00C9502D" w:rsidRPr="00692FAD" w:rsidRDefault="00C9502D" w:rsidP="009A67E9">
            <w:pPr>
              <w:jc w:val="center"/>
              <w:rPr>
                <w:rFonts w:cstheme="minorHAnsi"/>
                <w:b/>
                <w:lang w:val="es-MX"/>
              </w:rPr>
            </w:pPr>
            <w:r w:rsidRPr="00692FAD">
              <w:rPr>
                <w:rFonts w:cstheme="minorHAnsi"/>
                <w:b/>
                <w:lang w:val="es-MX"/>
              </w:rPr>
              <w:t>47</w:t>
            </w:r>
          </w:p>
        </w:tc>
        <w:tc>
          <w:tcPr>
            <w:tcW w:w="1645" w:type="dxa"/>
          </w:tcPr>
          <w:p w:rsidR="00C9502D" w:rsidRPr="00692FAD" w:rsidRDefault="00C9502D" w:rsidP="009A67E9">
            <w:pPr>
              <w:rPr>
                <w:rFonts w:cstheme="minorHAnsi"/>
                <w:b/>
                <w:lang w:val="es-MX"/>
              </w:rPr>
            </w:pPr>
            <w:r w:rsidRPr="00692FAD">
              <w:rPr>
                <w:rFonts w:cstheme="minorHAnsi"/>
                <w:b/>
                <w:lang w:val="es-MX"/>
              </w:rPr>
              <w:t>3.534.254.190,75</w:t>
            </w:r>
          </w:p>
        </w:tc>
        <w:tc>
          <w:tcPr>
            <w:tcW w:w="1551" w:type="dxa"/>
          </w:tcPr>
          <w:p w:rsidR="00C9502D" w:rsidRPr="00692FAD" w:rsidRDefault="00C9502D" w:rsidP="009A67E9">
            <w:pPr>
              <w:jc w:val="center"/>
              <w:rPr>
                <w:rFonts w:cstheme="minorHAnsi"/>
                <w:b/>
                <w:lang w:val="es-MX"/>
              </w:rPr>
            </w:pPr>
            <w:r w:rsidRPr="00692FAD">
              <w:rPr>
                <w:rFonts w:cstheme="minorHAnsi"/>
                <w:b/>
                <w:lang w:val="es-MX"/>
              </w:rPr>
              <w:t>100,0%</w:t>
            </w:r>
          </w:p>
        </w:tc>
        <w:tc>
          <w:tcPr>
            <w:tcW w:w="1774" w:type="dxa"/>
          </w:tcPr>
          <w:p w:rsidR="00C9502D" w:rsidRPr="00692FAD" w:rsidRDefault="00C9502D" w:rsidP="009A67E9">
            <w:pPr>
              <w:jc w:val="center"/>
              <w:rPr>
                <w:rFonts w:cstheme="minorHAnsi"/>
                <w:b/>
                <w:lang w:val="es-MX"/>
              </w:rPr>
            </w:pPr>
            <w:r w:rsidRPr="00692FAD">
              <w:rPr>
                <w:rFonts w:cstheme="minorHAnsi"/>
                <w:b/>
                <w:lang w:val="es-MX"/>
              </w:rPr>
              <w:t>8,2%</w:t>
            </w:r>
          </w:p>
        </w:tc>
      </w:tr>
    </w:tbl>
    <w:p w:rsidR="00C9502D" w:rsidRPr="00692FAD" w:rsidRDefault="00C9502D" w:rsidP="00C9502D">
      <w:pPr>
        <w:spacing w:after="0" w:line="360" w:lineRule="auto"/>
        <w:jc w:val="both"/>
        <w:rPr>
          <w:rFonts w:cstheme="minorHAnsi"/>
          <w:lang w:val="es-MX"/>
        </w:rPr>
      </w:pPr>
    </w:p>
    <w:p w:rsidR="00C9502D" w:rsidRPr="00692FAD" w:rsidRDefault="00C9502D" w:rsidP="009417EA">
      <w:pPr>
        <w:spacing w:after="0" w:line="360" w:lineRule="auto"/>
        <w:jc w:val="center"/>
        <w:rPr>
          <w:rFonts w:cstheme="minorHAnsi"/>
          <w:lang w:val="es-MX"/>
        </w:rPr>
      </w:pPr>
      <w:r w:rsidRPr="00692FAD">
        <w:rPr>
          <w:rFonts w:cstheme="minorHAnsi"/>
          <w:noProof/>
          <w:lang w:val="es-ES" w:eastAsia="es-ES"/>
        </w:rPr>
        <w:drawing>
          <wp:inline distT="0" distB="0" distL="0" distR="0" wp14:anchorId="20796F15" wp14:editId="6DA72C7A">
            <wp:extent cx="5743575" cy="29432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45177" cy="2944046"/>
                    </a:xfrm>
                    <a:prstGeom prst="rect">
                      <a:avLst/>
                    </a:prstGeom>
                    <a:noFill/>
                  </pic:spPr>
                </pic:pic>
              </a:graphicData>
            </a:graphic>
          </wp:inline>
        </w:drawing>
      </w:r>
    </w:p>
    <w:p w:rsidR="00C9502D" w:rsidRPr="00692FAD" w:rsidRDefault="00C9502D" w:rsidP="00C9502D">
      <w:pPr>
        <w:spacing w:after="0" w:line="360" w:lineRule="auto"/>
        <w:jc w:val="both"/>
        <w:rPr>
          <w:rFonts w:cstheme="minorHAnsi"/>
          <w:lang w:val="es-MX"/>
        </w:rPr>
      </w:pPr>
    </w:p>
    <w:p w:rsidR="00C9502D" w:rsidRPr="00692FAD" w:rsidRDefault="00C9502D" w:rsidP="00C9502D">
      <w:pPr>
        <w:spacing w:after="0" w:line="360" w:lineRule="auto"/>
        <w:jc w:val="center"/>
        <w:rPr>
          <w:rFonts w:cstheme="minorHAnsi"/>
          <w:lang w:val="es-MX"/>
        </w:rPr>
      </w:pPr>
      <w:r w:rsidRPr="00692FAD">
        <w:rPr>
          <w:rFonts w:cstheme="minorHAnsi"/>
          <w:b/>
          <w:noProof/>
          <w:lang w:val="es-ES" w:eastAsia="es-ES"/>
        </w:rPr>
        <w:lastRenderedPageBreak/>
        <w:drawing>
          <wp:inline distT="0" distB="0" distL="0" distR="0" wp14:anchorId="416238D6" wp14:editId="702B2E99">
            <wp:extent cx="5695950" cy="2867025"/>
            <wp:effectExtent l="0" t="0" r="0" b="952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03218" cy="2870684"/>
                    </a:xfrm>
                    <a:prstGeom prst="rect">
                      <a:avLst/>
                    </a:prstGeom>
                    <a:noFill/>
                  </pic:spPr>
                </pic:pic>
              </a:graphicData>
            </a:graphic>
          </wp:inline>
        </w:drawing>
      </w:r>
    </w:p>
    <w:p w:rsidR="00C9502D" w:rsidRPr="00692FAD" w:rsidRDefault="00C9502D" w:rsidP="003A4522">
      <w:pPr>
        <w:pStyle w:val="Epgrafe"/>
        <w:rPr>
          <w:rFonts w:cstheme="minorHAnsi"/>
          <w:sz w:val="22"/>
          <w:szCs w:val="22"/>
        </w:rPr>
      </w:pPr>
    </w:p>
    <w:p w:rsidR="003A4522" w:rsidRPr="00692FAD" w:rsidRDefault="009417EA" w:rsidP="003A4522">
      <w:pPr>
        <w:pStyle w:val="Epgrafe"/>
        <w:rPr>
          <w:rFonts w:cstheme="minorHAnsi"/>
          <w:b w:val="0"/>
          <w:sz w:val="22"/>
          <w:szCs w:val="22"/>
          <w:lang w:eastAsia="es-EC"/>
        </w:rPr>
      </w:pPr>
      <w:r>
        <w:rPr>
          <w:rFonts w:cstheme="minorHAnsi"/>
          <w:sz w:val="22"/>
          <w:szCs w:val="22"/>
        </w:rPr>
        <w:t>T</w:t>
      </w:r>
      <w:r w:rsidR="003A4522" w:rsidRPr="00692FAD">
        <w:rPr>
          <w:rFonts w:cstheme="minorHAnsi"/>
          <w:sz w:val="22"/>
          <w:szCs w:val="22"/>
        </w:rPr>
        <w:t xml:space="preserve">abla </w:t>
      </w:r>
      <w:r w:rsidR="003A4522" w:rsidRPr="00692FAD">
        <w:rPr>
          <w:rFonts w:cstheme="minorHAnsi"/>
          <w:sz w:val="22"/>
          <w:szCs w:val="22"/>
        </w:rPr>
        <w:fldChar w:fldCharType="begin"/>
      </w:r>
      <w:r w:rsidR="003A4522" w:rsidRPr="00692FAD">
        <w:rPr>
          <w:rFonts w:cstheme="minorHAnsi"/>
          <w:sz w:val="22"/>
          <w:szCs w:val="22"/>
        </w:rPr>
        <w:instrText xml:space="preserve"> SEQ Tabla \* ARABIC </w:instrText>
      </w:r>
      <w:r w:rsidR="003A4522" w:rsidRPr="00692FAD">
        <w:rPr>
          <w:rFonts w:cstheme="minorHAnsi"/>
          <w:sz w:val="22"/>
          <w:szCs w:val="22"/>
        </w:rPr>
        <w:fldChar w:fldCharType="separate"/>
      </w:r>
      <w:r w:rsidR="003A4522" w:rsidRPr="00692FAD">
        <w:rPr>
          <w:rFonts w:cstheme="minorHAnsi"/>
          <w:noProof/>
          <w:sz w:val="22"/>
          <w:szCs w:val="22"/>
        </w:rPr>
        <w:t>8</w:t>
      </w:r>
      <w:r w:rsidR="003A4522" w:rsidRPr="00692FAD">
        <w:rPr>
          <w:rFonts w:cstheme="minorHAnsi"/>
          <w:sz w:val="22"/>
          <w:szCs w:val="22"/>
        </w:rPr>
        <w:fldChar w:fldCharType="end"/>
      </w:r>
      <w:r w:rsidR="003A4522" w:rsidRPr="00692FAD">
        <w:rPr>
          <w:rFonts w:cstheme="minorHAnsi"/>
          <w:i/>
          <w:sz w:val="22"/>
          <w:szCs w:val="22"/>
          <w:lang w:eastAsia="es-EC"/>
        </w:rPr>
        <w:t>.-</w:t>
      </w:r>
      <w:r w:rsidR="003A4522" w:rsidRPr="00692FAD">
        <w:rPr>
          <w:rFonts w:cstheme="minorHAnsi"/>
          <w:sz w:val="22"/>
          <w:szCs w:val="22"/>
          <w:lang w:eastAsia="es-EC"/>
        </w:rPr>
        <w:t xml:space="preserve"> </w:t>
      </w:r>
      <w:r w:rsidR="003A4522" w:rsidRPr="00692FAD">
        <w:rPr>
          <w:rFonts w:cstheme="minorHAnsi"/>
          <w:b w:val="0"/>
          <w:sz w:val="22"/>
          <w:szCs w:val="22"/>
          <w:lang w:eastAsia="es-EC"/>
        </w:rPr>
        <w:t>Registrar el número de Resoluciones generadas:</w:t>
      </w:r>
    </w:p>
    <w:tbl>
      <w:tblPr>
        <w:tblW w:w="8920" w:type="dxa"/>
        <w:tblInd w:w="55" w:type="dxa"/>
        <w:tblCellMar>
          <w:left w:w="70" w:type="dxa"/>
          <w:right w:w="70" w:type="dxa"/>
        </w:tblCellMar>
        <w:tblLook w:val="04A0" w:firstRow="1" w:lastRow="0" w:firstColumn="1" w:lastColumn="0" w:noHBand="0" w:noVBand="1"/>
      </w:tblPr>
      <w:tblGrid>
        <w:gridCol w:w="8200"/>
        <w:gridCol w:w="720"/>
      </w:tblGrid>
      <w:tr w:rsidR="00C9502D" w:rsidRPr="00692FAD" w:rsidTr="009A67E9">
        <w:trPr>
          <w:trHeight w:val="255"/>
        </w:trPr>
        <w:tc>
          <w:tcPr>
            <w:tcW w:w="8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502D" w:rsidRPr="00692FAD" w:rsidRDefault="00C9502D" w:rsidP="009A67E9">
            <w:pPr>
              <w:spacing w:after="0" w:line="240" w:lineRule="auto"/>
              <w:rPr>
                <w:rFonts w:eastAsia="Times New Roman" w:cstheme="minorHAnsi"/>
                <w:b/>
                <w:bCs/>
                <w:lang w:eastAsia="es-EC"/>
              </w:rPr>
            </w:pPr>
            <w:r w:rsidRPr="00692FAD">
              <w:rPr>
                <w:rFonts w:eastAsia="Times New Roman" w:cstheme="minorHAnsi"/>
                <w:b/>
                <w:bCs/>
                <w:lang w:eastAsia="es-EC"/>
              </w:rPr>
              <w:t>Proceso</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C9502D" w:rsidRPr="00692FAD" w:rsidRDefault="00C9502D" w:rsidP="009A67E9">
            <w:pPr>
              <w:spacing w:after="0" w:line="240" w:lineRule="auto"/>
              <w:rPr>
                <w:rFonts w:eastAsia="Times New Roman" w:cstheme="minorHAnsi"/>
                <w:b/>
                <w:bCs/>
                <w:lang w:eastAsia="es-EC"/>
              </w:rPr>
            </w:pPr>
            <w:r w:rsidRPr="00692FAD">
              <w:rPr>
                <w:rFonts w:eastAsia="Times New Roman" w:cstheme="minorHAnsi"/>
                <w:b/>
                <w:bCs/>
                <w:lang w:eastAsia="es-EC"/>
              </w:rPr>
              <w:t>Total</w:t>
            </w:r>
          </w:p>
        </w:tc>
      </w:tr>
      <w:tr w:rsidR="00C9502D" w:rsidRPr="00692FAD" w:rsidTr="009A67E9">
        <w:trPr>
          <w:trHeight w:val="255"/>
        </w:trPr>
        <w:tc>
          <w:tcPr>
            <w:tcW w:w="8200" w:type="dxa"/>
            <w:tcBorders>
              <w:top w:val="nil"/>
              <w:left w:val="single" w:sz="4" w:space="0" w:color="auto"/>
              <w:bottom w:val="single" w:sz="4" w:space="0" w:color="auto"/>
              <w:right w:val="single" w:sz="4" w:space="0" w:color="auto"/>
            </w:tcBorders>
            <w:shd w:val="clear" w:color="auto" w:fill="auto"/>
            <w:noWrap/>
            <w:vAlign w:val="bottom"/>
            <w:hideMark/>
          </w:tcPr>
          <w:p w:rsidR="00C9502D" w:rsidRPr="00692FAD" w:rsidRDefault="00C9502D" w:rsidP="009A67E9">
            <w:pPr>
              <w:spacing w:after="0" w:line="240" w:lineRule="auto"/>
              <w:rPr>
                <w:rFonts w:eastAsia="Times New Roman" w:cstheme="minorHAnsi"/>
                <w:lang w:eastAsia="es-EC"/>
              </w:rPr>
            </w:pPr>
            <w:r w:rsidRPr="00692FAD">
              <w:rPr>
                <w:rFonts w:eastAsia="Times New Roman" w:cstheme="minorHAnsi"/>
                <w:lang w:eastAsia="es-EC"/>
              </w:rPr>
              <w:t>1. Actos Societarios</w:t>
            </w:r>
          </w:p>
        </w:tc>
        <w:tc>
          <w:tcPr>
            <w:tcW w:w="720" w:type="dxa"/>
            <w:tcBorders>
              <w:top w:val="nil"/>
              <w:left w:val="nil"/>
              <w:bottom w:val="single" w:sz="4" w:space="0" w:color="auto"/>
              <w:right w:val="single" w:sz="4" w:space="0" w:color="auto"/>
            </w:tcBorders>
            <w:shd w:val="clear" w:color="auto" w:fill="auto"/>
            <w:noWrap/>
            <w:vAlign w:val="bottom"/>
            <w:hideMark/>
          </w:tcPr>
          <w:p w:rsidR="00C9502D" w:rsidRPr="00692FAD" w:rsidRDefault="00C9502D" w:rsidP="009417EA">
            <w:pPr>
              <w:spacing w:after="0" w:line="240" w:lineRule="auto"/>
              <w:jc w:val="center"/>
              <w:rPr>
                <w:rFonts w:eastAsia="Times New Roman" w:cstheme="minorHAnsi"/>
                <w:lang w:eastAsia="es-EC"/>
              </w:rPr>
            </w:pPr>
            <w:r w:rsidRPr="00692FAD">
              <w:rPr>
                <w:rFonts w:eastAsia="Times New Roman" w:cstheme="minorHAnsi"/>
                <w:lang w:eastAsia="es-EC"/>
              </w:rPr>
              <w:t>12</w:t>
            </w:r>
          </w:p>
        </w:tc>
      </w:tr>
      <w:tr w:rsidR="00C9502D" w:rsidRPr="00692FAD" w:rsidTr="009A67E9">
        <w:trPr>
          <w:trHeight w:val="255"/>
        </w:trPr>
        <w:tc>
          <w:tcPr>
            <w:tcW w:w="8200" w:type="dxa"/>
            <w:tcBorders>
              <w:top w:val="nil"/>
              <w:left w:val="single" w:sz="4" w:space="0" w:color="auto"/>
              <w:bottom w:val="single" w:sz="4" w:space="0" w:color="auto"/>
              <w:right w:val="single" w:sz="4" w:space="0" w:color="auto"/>
            </w:tcBorders>
            <w:shd w:val="clear" w:color="auto" w:fill="auto"/>
            <w:noWrap/>
            <w:vAlign w:val="bottom"/>
            <w:hideMark/>
          </w:tcPr>
          <w:p w:rsidR="00C9502D" w:rsidRPr="00692FAD" w:rsidRDefault="00C9502D" w:rsidP="009A67E9">
            <w:pPr>
              <w:spacing w:after="0" w:line="240" w:lineRule="auto"/>
              <w:rPr>
                <w:rFonts w:eastAsia="Times New Roman" w:cstheme="minorHAnsi"/>
                <w:lang w:eastAsia="es-EC"/>
              </w:rPr>
            </w:pPr>
            <w:r w:rsidRPr="00692FAD">
              <w:rPr>
                <w:rFonts w:eastAsia="Times New Roman" w:cstheme="minorHAnsi"/>
                <w:lang w:eastAsia="es-EC"/>
              </w:rPr>
              <w:t>10.Cancelar Valores en CPMV</w:t>
            </w:r>
          </w:p>
        </w:tc>
        <w:tc>
          <w:tcPr>
            <w:tcW w:w="720" w:type="dxa"/>
            <w:tcBorders>
              <w:top w:val="nil"/>
              <w:left w:val="nil"/>
              <w:bottom w:val="single" w:sz="4" w:space="0" w:color="auto"/>
              <w:right w:val="single" w:sz="4" w:space="0" w:color="auto"/>
            </w:tcBorders>
            <w:shd w:val="clear" w:color="auto" w:fill="auto"/>
            <w:noWrap/>
            <w:vAlign w:val="bottom"/>
            <w:hideMark/>
          </w:tcPr>
          <w:p w:rsidR="00C9502D" w:rsidRPr="00692FAD" w:rsidRDefault="00C9502D" w:rsidP="009417EA">
            <w:pPr>
              <w:spacing w:after="0" w:line="240" w:lineRule="auto"/>
              <w:jc w:val="center"/>
              <w:rPr>
                <w:rFonts w:eastAsia="Times New Roman" w:cstheme="minorHAnsi"/>
                <w:lang w:eastAsia="es-EC"/>
              </w:rPr>
            </w:pPr>
            <w:r w:rsidRPr="00692FAD">
              <w:rPr>
                <w:rFonts w:eastAsia="Times New Roman" w:cstheme="minorHAnsi"/>
                <w:lang w:eastAsia="es-EC"/>
              </w:rPr>
              <w:t>26</w:t>
            </w:r>
          </w:p>
        </w:tc>
      </w:tr>
      <w:tr w:rsidR="00C9502D" w:rsidRPr="00692FAD" w:rsidTr="009A67E9">
        <w:trPr>
          <w:trHeight w:val="255"/>
        </w:trPr>
        <w:tc>
          <w:tcPr>
            <w:tcW w:w="8200" w:type="dxa"/>
            <w:tcBorders>
              <w:top w:val="nil"/>
              <w:left w:val="single" w:sz="4" w:space="0" w:color="auto"/>
              <w:bottom w:val="single" w:sz="4" w:space="0" w:color="auto"/>
              <w:right w:val="single" w:sz="4" w:space="0" w:color="auto"/>
            </w:tcBorders>
            <w:shd w:val="clear" w:color="auto" w:fill="auto"/>
            <w:noWrap/>
            <w:vAlign w:val="bottom"/>
            <w:hideMark/>
          </w:tcPr>
          <w:p w:rsidR="00C9502D" w:rsidRPr="00692FAD" w:rsidRDefault="00C9502D" w:rsidP="009A67E9">
            <w:pPr>
              <w:spacing w:after="0" w:line="240" w:lineRule="auto"/>
              <w:rPr>
                <w:rFonts w:eastAsia="Times New Roman" w:cstheme="minorHAnsi"/>
                <w:lang w:eastAsia="es-EC"/>
              </w:rPr>
            </w:pPr>
            <w:r w:rsidRPr="00692FAD">
              <w:rPr>
                <w:rFonts w:eastAsia="Times New Roman" w:cstheme="minorHAnsi"/>
                <w:lang w:eastAsia="es-EC"/>
              </w:rPr>
              <w:t>14. Inscripción otros participes en el CPMV</w:t>
            </w:r>
          </w:p>
        </w:tc>
        <w:tc>
          <w:tcPr>
            <w:tcW w:w="720" w:type="dxa"/>
            <w:tcBorders>
              <w:top w:val="nil"/>
              <w:left w:val="nil"/>
              <w:bottom w:val="single" w:sz="4" w:space="0" w:color="auto"/>
              <w:right w:val="single" w:sz="4" w:space="0" w:color="auto"/>
            </w:tcBorders>
            <w:shd w:val="clear" w:color="auto" w:fill="auto"/>
            <w:noWrap/>
            <w:vAlign w:val="bottom"/>
            <w:hideMark/>
          </w:tcPr>
          <w:p w:rsidR="00C9502D" w:rsidRPr="00692FAD" w:rsidRDefault="00C9502D" w:rsidP="009417EA">
            <w:pPr>
              <w:spacing w:after="0" w:line="240" w:lineRule="auto"/>
              <w:jc w:val="center"/>
              <w:rPr>
                <w:rFonts w:eastAsia="Times New Roman" w:cstheme="minorHAnsi"/>
                <w:lang w:eastAsia="es-EC"/>
              </w:rPr>
            </w:pPr>
            <w:r w:rsidRPr="00692FAD">
              <w:rPr>
                <w:rFonts w:eastAsia="Times New Roman" w:cstheme="minorHAnsi"/>
                <w:lang w:eastAsia="es-EC"/>
              </w:rPr>
              <w:t>36</w:t>
            </w:r>
          </w:p>
        </w:tc>
      </w:tr>
      <w:tr w:rsidR="00C9502D" w:rsidRPr="00692FAD" w:rsidTr="009A67E9">
        <w:trPr>
          <w:trHeight w:val="255"/>
        </w:trPr>
        <w:tc>
          <w:tcPr>
            <w:tcW w:w="8200" w:type="dxa"/>
            <w:tcBorders>
              <w:top w:val="nil"/>
              <w:left w:val="single" w:sz="4" w:space="0" w:color="auto"/>
              <w:bottom w:val="single" w:sz="4" w:space="0" w:color="auto"/>
              <w:right w:val="single" w:sz="4" w:space="0" w:color="auto"/>
            </w:tcBorders>
            <w:shd w:val="clear" w:color="auto" w:fill="auto"/>
            <w:noWrap/>
            <w:vAlign w:val="bottom"/>
            <w:hideMark/>
          </w:tcPr>
          <w:p w:rsidR="00C9502D" w:rsidRPr="00692FAD" w:rsidRDefault="00C9502D" w:rsidP="009A67E9">
            <w:pPr>
              <w:spacing w:after="0" w:line="240" w:lineRule="auto"/>
              <w:rPr>
                <w:rFonts w:eastAsia="Times New Roman" w:cstheme="minorHAnsi"/>
                <w:lang w:eastAsia="es-EC"/>
              </w:rPr>
            </w:pPr>
            <w:r w:rsidRPr="00692FAD">
              <w:rPr>
                <w:rFonts w:eastAsia="Times New Roman" w:cstheme="minorHAnsi"/>
                <w:lang w:eastAsia="es-EC"/>
              </w:rPr>
              <w:t>16. Liquidación de Fondos</w:t>
            </w:r>
          </w:p>
        </w:tc>
        <w:tc>
          <w:tcPr>
            <w:tcW w:w="720" w:type="dxa"/>
            <w:tcBorders>
              <w:top w:val="nil"/>
              <w:left w:val="nil"/>
              <w:bottom w:val="single" w:sz="4" w:space="0" w:color="auto"/>
              <w:right w:val="single" w:sz="4" w:space="0" w:color="auto"/>
            </w:tcBorders>
            <w:shd w:val="clear" w:color="auto" w:fill="auto"/>
            <w:noWrap/>
            <w:vAlign w:val="bottom"/>
            <w:hideMark/>
          </w:tcPr>
          <w:p w:rsidR="00C9502D" w:rsidRPr="00692FAD" w:rsidRDefault="00C9502D" w:rsidP="009417EA">
            <w:pPr>
              <w:spacing w:after="0" w:line="240" w:lineRule="auto"/>
              <w:jc w:val="center"/>
              <w:rPr>
                <w:rFonts w:eastAsia="Times New Roman" w:cstheme="minorHAnsi"/>
                <w:lang w:eastAsia="es-EC"/>
              </w:rPr>
            </w:pPr>
            <w:r w:rsidRPr="00692FAD">
              <w:rPr>
                <w:rFonts w:eastAsia="Times New Roman" w:cstheme="minorHAnsi"/>
                <w:lang w:eastAsia="es-EC"/>
              </w:rPr>
              <w:t>1</w:t>
            </w:r>
          </w:p>
        </w:tc>
      </w:tr>
      <w:tr w:rsidR="00C9502D" w:rsidRPr="00692FAD" w:rsidTr="009A67E9">
        <w:trPr>
          <w:trHeight w:val="255"/>
        </w:trPr>
        <w:tc>
          <w:tcPr>
            <w:tcW w:w="8200" w:type="dxa"/>
            <w:tcBorders>
              <w:top w:val="nil"/>
              <w:left w:val="single" w:sz="4" w:space="0" w:color="auto"/>
              <w:bottom w:val="single" w:sz="4" w:space="0" w:color="auto"/>
              <w:right w:val="single" w:sz="4" w:space="0" w:color="auto"/>
            </w:tcBorders>
            <w:shd w:val="clear" w:color="auto" w:fill="auto"/>
            <w:noWrap/>
            <w:vAlign w:val="bottom"/>
            <w:hideMark/>
          </w:tcPr>
          <w:p w:rsidR="00C9502D" w:rsidRPr="00692FAD" w:rsidRDefault="00C9502D" w:rsidP="009A67E9">
            <w:pPr>
              <w:spacing w:after="0" w:line="240" w:lineRule="auto"/>
              <w:rPr>
                <w:rFonts w:eastAsia="Times New Roman" w:cstheme="minorHAnsi"/>
                <w:lang w:eastAsia="es-EC"/>
              </w:rPr>
            </w:pPr>
            <w:r w:rsidRPr="00692FAD">
              <w:rPr>
                <w:rFonts w:eastAsia="Times New Roman" w:cstheme="minorHAnsi"/>
                <w:lang w:eastAsia="es-EC"/>
              </w:rPr>
              <w:t>3.Aprobar la solicitud de prórroga de las emisiones , cambios de características de emisión</w:t>
            </w:r>
          </w:p>
        </w:tc>
        <w:tc>
          <w:tcPr>
            <w:tcW w:w="720" w:type="dxa"/>
            <w:tcBorders>
              <w:top w:val="nil"/>
              <w:left w:val="nil"/>
              <w:bottom w:val="single" w:sz="4" w:space="0" w:color="auto"/>
              <w:right w:val="single" w:sz="4" w:space="0" w:color="auto"/>
            </w:tcBorders>
            <w:shd w:val="clear" w:color="auto" w:fill="auto"/>
            <w:noWrap/>
            <w:vAlign w:val="bottom"/>
            <w:hideMark/>
          </w:tcPr>
          <w:p w:rsidR="00C9502D" w:rsidRPr="00692FAD" w:rsidRDefault="00C9502D" w:rsidP="009417EA">
            <w:pPr>
              <w:spacing w:after="0" w:line="240" w:lineRule="auto"/>
              <w:jc w:val="center"/>
              <w:rPr>
                <w:rFonts w:eastAsia="Times New Roman" w:cstheme="minorHAnsi"/>
                <w:lang w:eastAsia="es-EC"/>
              </w:rPr>
            </w:pPr>
            <w:r w:rsidRPr="00692FAD">
              <w:rPr>
                <w:rFonts w:eastAsia="Times New Roman" w:cstheme="minorHAnsi"/>
                <w:lang w:eastAsia="es-EC"/>
              </w:rPr>
              <w:t>17</w:t>
            </w:r>
          </w:p>
        </w:tc>
      </w:tr>
      <w:tr w:rsidR="00C9502D" w:rsidRPr="00692FAD" w:rsidTr="009A67E9">
        <w:trPr>
          <w:trHeight w:val="255"/>
        </w:trPr>
        <w:tc>
          <w:tcPr>
            <w:tcW w:w="8200" w:type="dxa"/>
            <w:tcBorders>
              <w:top w:val="nil"/>
              <w:left w:val="single" w:sz="4" w:space="0" w:color="auto"/>
              <w:bottom w:val="single" w:sz="4" w:space="0" w:color="auto"/>
              <w:right w:val="single" w:sz="4" w:space="0" w:color="auto"/>
            </w:tcBorders>
            <w:shd w:val="clear" w:color="auto" w:fill="auto"/>
            <w:noWrap/>
            <w:vAlign w:val="bottom"/>
            <w:hideMark/>
          </w:tcPr>
          <w:p w:rsidR="00C9502D" w:rsidRPr="00692FAD" w:rsidRDefault="00C9502D" w:rsidP="009A67E9">
            <w:pPr>
              <w:spacing w:after="0" w:line="240" w:lineRule="auto"/>
              <w:rPr>
                <w:rFonts w:eastAsia="Times New Roman" w:cstheme="minorHAnsi"/>
                <w:lang w:eastAsia="es-EC"/>
              </w:rPr>
            </w:pPr>
            <w:r w:rsidRPr="00692FAD">
              <w:rPr>
                <w:rFonts w:eastAsia="Times New Roman" w:cstheme="minorHAnsi"/>
                <w:lang w:eastAsia="es-EC"/>
              </w:rPr>
              <w:t>4. Aprobar Manuales Operativos,  Reglamentos y  sus reformas de los participantes del MV</w:t>
            </w:r>
          </w:p>
        </w:tc>
        <w:tc>
          <w:tcPr>
            <w:tcW w:w="720" w:type="dxa"/>
            <w:tcBorders>
              <w:top w:val="nil"/>
              <w:left w:val="nil"/>
              <w:bottom w:val="single" w:sz="4" w:space="0" w:color="auto"/>
              <w:right w:val="single" w:sz="4" w:space="0" w:color="auto"/>
            </w:tcBorders>
            <w:shd w:val="clear" w:color="auto" w:fill="auto"/>
            <w:noWrap/>
            <w:vAlign w:val="bottom"/>
            <w:hideMark/>
          </w:tcPr>
          <w:p w:rsidR="00C9502D" w:rsidRPr="00692FAD" w:rsidRDefault="00C9502D" w:rsidP="009417EA">
            <w:pPr>
              <w:spacing w:after="0" w:line="240" w:lineRule="auto"/>
              <w:jc w:val="center"/>
              <w:rPr>
                <w:rFonts w:eastAsia="Times New Roman" w:cstheme="minorHAnsi"/>
                <w:lang w:eastAsia="es-EC"/>
              </w:rPr>
            </w:pPr>
            <w:r w:rsidRPr="00692FAD">
              <w:rPr>
                <w:rFonts w:eastAsia="Times New Roman" w:cstheme="minorHAnsi"/>
                <w:lang w:eastAsia="es-EC"/>
              </w:rPr>
              <w:t>18</w:t>
            </w:r>
          </w:p>
        </w:tc>
      </w:tr>
      <w:tr w:rsidR="00C9502D" w:rsidRPr="00692FAD" w:rsidTr="009A67E9">
        <w:trPr>
          <w:trHeight w:val="255"/>
        </w:trPr>
        <w:tc>
          <w:tcPr>
            <w:tcW w:w="8200" w:type="dxa"/>
            <w:tcBorders>
              <w:top w:val="nil"/>
              <w:left w:val="single" w:sz="4" w:space="0" w:color="auto"/>
              <w:bottom w:val="single" w:sz="4" w:space="0" w:color="auto"/>
              <w:right w:val="single" w:sz="4" w:space="0" w:color="auto"/>
            </w:tcBorders>
            <w:shd w:val="clear" w:color="auto" w:fill="auto"/>
            <w:noWrap/>
            <w:vAlign w:val="bottom"/>
            <w:hideMark/>
          </w:tcPr>
          <w:p w:rsidR="00C9502D" w:rsidRPr="00692FAD" w:rsidRDefault="00C9502D" w:rsidP="009A67E9">
            <w:pPr>
              <w:spacing w:after="0" w:line="240" w:lineRule="auto"/>
              <w:rPr>
                <w:rFonts w:eastAsia="Times New Roman" w:cstheme="minorHAnsi"/>
                <w:lang w:eastAsia="es-EC"/>
              </w:rPr>
            </w:pPr>
            <w:r w:rsidRPr="00692FAD">
              <w:rPr>
                <w:rFonts w:eastAsia="Times New Roman" w:cstheme="minorHAnsi"/>
                <w:lang w:eastAsia="es-EC"/>
              </w:rPr>
              <w:t>8. Autorizar Ofertas Públicas e Inscripción de emisiones y Valores en el CPMV</w:t>
            </w:r>
          </w:p>
        </w:tc>
        <w:tc>
          <w:tcPr>
            <w:tcW w:w="720" w:type="dxa"/>
            <w:tcBorders>
              <w:top w:val="nil"/>
              <w:left w:val="nil"/>
              <w:bottom w:val="single" w:sz="4" w:space="0" w:color="auto"/>
              <w:right w:val="single" w:sz="4" w:space="0" w:color="auto"/>
            </w:tcBorders>
            <w:shd w:val="clear" w:color="auto" w:fill="auto"/>
            <w:noWrap/>
            <w:vAlign w:val="bottom"/>
            <w:hideMark/>
          </w:tcPr>
          <w:p w:rsidR="00C9502D" w:rsidRPr="00692FAD" w:rsidRDefault="00C9502D" w:rsidP="009417EA">
            <w:pPr>
              <w:spacing w:after="0" w:line="240" w:lineRule="auto"/>
              <w:jc w:val="center"/>
              <w:rPr>
                <w:rFonts w:eastAsia="Times New Roman" w:cstheme="minorHAnsi"/>
                <w:lang w:eastAsia="es-EC"/>
              </w:rPr>
            </w:pPr>
            <w:r w:rsidRPr="00692FAD">
              <w:rPr>
                <w:rFonts w:eastAsia="Times New Roman" w:cstheme="minorHAnsi"/>
                <w:lang w:eastAsia="es-EC"/>
              </w:rPr>
              <w:t>47</w:t>
            </w:r>
          </w:p>
        </w:tc>
      </w:tr>
      <w:tr w:rsidR="00C9502D" w:rsidRPr="00692FAD" w:rsidTr="009A67E9">
        <w:trPr>
          <w:trHeight w:val="255"/>
        </w:trPr>
        <w:tc>
          <w:tcPr>
            <w:tcW w:w="8200" w:type="dxa"/>
            <w:tcBorders>
              <w:top w:val="nil"/>
              <w:left w:val="single" w:sz="4" w:space="0" w:color="auto"/>
              <w:bottom w:val="single" w:sz="4" w:space="0" w:color="auto"/>
              <w:right w:val="single" w:sz="4" w:space="0" w:color="auto"/>
            </w:tcBorders>
            <w:shd w:val="clear" w:color="auto" w:fill="auto"/>
            <w:noWrap/>
            <w:vAlign w:val="bottom"/>
            <w:hideMark/>
          </w:tcPr>
          <w:p w:rsidR="00C9502D" w:rsidRPr="00692FAD" w:rsidRDefault="00C9502D" w:rsidP="009A67E9">
            <w:pPr>
              <w:spacing w:after="0" w:line="240" w:lineRule="auto"/>
              <w:rPr>
                <w:rFonts w:eastAsia="Times New Roman" w:cstheme="minorHAnsi"/>
                <w:lang w:eastAsia="es-EC"/>
              </w:rPr>
            </w:pPr>
            <w:r w:rsidRPr="00692FAD">
              <w:rPr>
                <w:rFonts w:eastAsia="Times New Roman" w:cstheme="minorHAnsi"/>
                <w:lang w:eastAsia="es-EC"/>
              </w:rPr>
              <w:t>9. Cancelar entes de Mercado de valores CPMV</w:t>
            </w:r>
          </w:p>
        </w:tc>
        <w:tc>
          <w:tcPr>
            <w:tcW w:w="720" w:type="dxa"/>
            <w:tcBorders>
              <w:top w:val="nil"/>
              <w:left w:val="nil"/>
              <w:bottom w:val="single" w:sz="4" w:space="0" w:color="auto"/>
              <w:right w:val="single" w:sz="4" w:space="0" w:color="auto"/>
            </w:tcBorders>
            <w:shd w:val="clear" w:color="auto" w:fill="auto"/>
            <w:noWrap/>
            <w:vAlign w:val="bottom"/>
            <w:hideMark/>
          </w:tcPr>
          <w:p w:rsidR="00C9502D" w:rsidRPr="00692FAD" w:rsidRDefault="00C9502D" w:rsidP="009417EA">
            <w:pPr>
              <w:spacing w:after="0" w:line="240" w:lineRule="auto"/>
              <w:jc w:val="center"/>
              <w:rPr>
                <w:rFonts w:eastAsia="Times New Roman" w:cstheme="minorHAnsi"/>
                <w:lang w:eastAsia="es-EC"/>
              </w:rPr>
            </w:pPr>
            <w:r w:rsidRPr="00692FAD">
              <w:rPr>
                <w:rFonts w:eastAsia="Times New Roman" w:cstheme="minorHAnsi"/>
                <w:lang w:eastAsia="es-EC"/>
              </w:rPr>
              <w:t>31</w:t>
            </w:r>
          </w:p>
        </w:tc>
      </w:tr>
      <w:tr w:rsidR="00C9502D" w:rsidRPr="00692FAD" w:rsidTr="009A67E9">
        <w:trPr>
          <w:trHeight w:val="255"/>
        </w:trPr>
        <w:tc>
          <w:tcPr>
            <w:tcW w:w="8200" w:type="dxa"/>
            <w:tcBorders>
              <w:top w:val="nil"/>
              <w:left w:val="single" w:sz="4" w:space="0" w:color="auto"/>
              <w:bottom w:val="single" w:sz="4" w:space="0" w:color="auto"/>
              <w:right w:val="single" w:sz="4" w:space="0" w:color="auto"/>
            </w:tcBorders>
            <w:shd w:val="clear" w:color="auto" w:fill="auto"/>
            <w:noWrap/>
            <w:vAlign w:val="bottom"/>
            <w:hideMark/>
          </w:tcPr>
          <w:p w:rsidR="00C9502D" w:rsidRPr="00692FAD" w:rsidRDefault="00C9502D" w:rsidP="009A67E9">
            <w:pPr>
              <w:spacing w:after="0" w:line="240" w:lineRule="auto"/>
              <w:rPr>
                <w:rFonts w:eastAsia="Times New Roman" w:cstheme="minorHAnsi"/>
                <w:b/>
                <w:bCs/>
                <w:lang w:eastAsia="es-EC"/>
              </w:rPr>
            </w:pPr>
            <w:r w:rsidRPr="00692FAD">
              <w:rPr>
                <w:rFonts w:eastAsia="Times New Roman" w:cstheme="minorHAnsi"/>
                <w:b/>
                <w:bCs/>
                <w:lang w:eastAsia="es-EC"/>
              </w:rPr>
              <w:t>Total general</w:t>
            </w:r>
          </w:p>
        </w:tc>
        <w:tc>
          <w:tcPr>
            <w:tcW w:w="720" w:type="dxa"/>
            <w:tcBorders>
              <w:top w:val="nil"/>
              <w:left w:val="nil"/>
              <w:bottom w:val="single" w:sz="4" w:space="0" w:color="auto"/>
              <w:right w:val="single" w:sz="4" w:space="0" w:color="auto"/>
            </w:tcBorders>
            <w:shd w:val="clear" w:color="auto" w:fill="auto"/>
            <w:noWrap/>
            <w:vAlign w:val="bottom"/>
            <w:hideMark/>
          </w:tcPr>
          <w:p w:rsidR="00C9502D" w:rsidRPr="00692FAD" w:rsidRDefault="00C9502D" w:rsidP="009417EA">
            <w:pPr>
              <w:spacing w:after="0" w:line="240" w:lineRule="auto"/>
              <w:jc w:val="center"/>
              <w:rPr>
                <w:rFonts w:eastAsia="Times New Roman" w:cstheme="minorHAnsi"/>
                <w:b/>
                <w:bCs/>
                <w:lang w:eastAsia="es-EC"/>
              </w:rPr>
            </w:pPr>
            <w:r w:rsidRPr="00692FAD">
              <w:rPr>
                <w:rFonts w:eastAsia="Times New Roman" w:cstheme="minorHAnsi"/>
                <w:b/>
                <w:bCs/>
                <w:lang w:eastAsia="es-EC"/>
              </w:rPr>
              <w:t>188</w:t>
            </w:r>
          </w:p>
        </w:tc>
      </w:tr>
    </w:tbl>
    <w:p w:rsidR="00C9502D" w:rsidRPr="00692FAD" w:rsidRDefault="00C9502D" w:rsidP="00C9502D">
      <w:pPr>
        <w:rPr>
          <w:rFonts w:cstheme="minorHAnsi"/>
          <w:lang w:val="es-ES" w:eastAsia="es-EC"/>
        </w:rPr>
      </w:pPr>
    </w:p>
    <w:p w:rsidR="003A4522" w:rsidRPr="00692FAD" w:rsidRDefault="003A4522" w:rsidP="003A4522">
      <w:pPr>
        <w:pStyle w:val="Epgrafe"/>
        <w:rPr>
          <w:rFonts w:cstheme="minorHAnsi"/>
          <w:b w:val="0"/>
          <w:sz w:val="22"/>
          <w:szCs w:val="22"/>
          <w:lang w:eastAsia="es-EC"/>
        </w:rPr>
      </w:pPr>
      <w:bookmarkStart w:id="8" w:name="_Toc94576289"/>
      <w:bookmarkStart w:id="9" w:name="_Toc94577882"/>
      <w:bookmarkEnd w:id="6"/>
      <w:bookmarkEnd w:id="7"/>
      <w:r w:rsidRPr="00692FAD">
        <w:rPr>
          <w:rFonts w:cstheme="minorHAnsi"/>
          <w:sz w:val="22"/>
          <w:szCs w:val="22"/>
        </w:rPr>
        <w:t xml:space="preserve">Tabla </w:t>
      </w:r>
      <w:r w:rsidRPr="00692FAD">
        <w:rPr>
          <w:rFonts w:cstheme="minorHAnsi"/>
          <w:sz w:val="22"/>
          <w:szCs w:val="22"/>
        </w:rPr>
        <w:fldChar w:fldCharType="begin"/>
      </w:r>
      <w:r w:rsidRPr="00692FAD">
        <w:rPr>
          <w:rFonts w:cstheme="minorHAnsi"/>
          <w:sz w:val="22"/>
          <w:szCs w:val="22"/>
        </w:rPr>
        <w:instrText xml:space="preserve"> SEQ Tabla \* ARABIC </w:instrText>
      </w:r>
      <w:r w:rsidRPr="00692FAD">
        <w:rPr>
          <w:rFonts w:cstheme="minorHAnsi"/>
          <w:sz w:val="22"/>
          <w:szCs w:val="22"/>
        </w:rPr>
        <w:fldChar w:fldCharType="separate"/>
      </w:r>
      <w:r w:rsidRPr="00692FAD">
        <w:rPr>
          <w:rFonts w:cstheme="minorHAnsi"/>
          <w:noProof/>
          <w:sz w:val="22"/>
          <w:szCs w:val="22"/>
        </w:rPr>
        <w:t>9</w:t>
      </w:r>
      <w:r w:rsidRPr="00692FAD">
        <w:rPr>
          <w:rFonts w:cstheme="minorHAnsi"/>
          <w:sz w:val="22"/>
          <w:szCs w:val="22"/>
        </w:rPr>
        <w:fldChar w:fldCharType="end"/>
      </w:r>
      <w:r w:rsidRPr="00692FAD">
        <w:rPr>
          <w:rFonts w:cstheme="minorHAnsi"/>
          <w:i/>
          <w:sz w:val="22"/>
          <w:szCs w:val="22"/>
          <w:lang w:eastAsia="es-EC"/>
        </w:rPr>
        <w:t xml:space="preserve">.- </w:t>
      </w:r>
      <w:r w:rsidRPr="00692FAD">
        <w:rPr>
          <w:rFonts w:cstheme="minorHAnsi"/>
          <w:b w:val="0"/>
          <w:sz w:val="22"/>
          <w:szCs w:val="22"/>
          <w:lang w:eastAsia="es-EC"/>
        </w:rPr>
        <w:t>Registre el número de Partícipes – Mercado de valores:</w:t>
      </w:r>
      <w:bookmarkEnd w:id="8"/>
      <w:bookmarkEnd w:id="9"/>
    </w:p>
    <w:tbl>
      <w:tblPr>
        <w:tblW w:w="6505" w:type="dxa"/>
        <w:jc w:val="center"/>
        <w:tblCellMar>
          <w:left w:w="70" w:type="dxa"/>
          <w:right w:w="70" w:type="dxa"/>
        </w:tblCellMar>
        <w:tblLook w:val="04A0" w:firstRow="1" w:lastRow="0" w:firstColumn="1" w:lastColumn="0" w:noHBand="0" w:noVBand="1"/>
      </w:tblPr>
      <w:tblGrid>
        <w:gridCol w:w="5305"/>
        <w:gridCol w:w="1200"/>
      </w:tblGrid>
      <w:tr w:rsidR="00C9502D" w:rsidRPr="00692FAD" w:rsidTr="009A67E9">
        <w:trPr>
          <w:trHeight w:val="315"/>
          <w:jc w:val="center"/>
        </w:trPr>
        <w:tc>
          <w:tcPr>
            <w:tcW w:w="53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9502D" w:rsidRPr="00692FAD" w:rsidRDefault="00C9502D" w:rsidP="009A67E9">
            <w:pPr>
              <w:spacing w:after="0" w:line="240" w:lineRule="auto"/>
              <w:jc w:val="center"/>
              <w:rPr>
                <w:rFonts w:cstheme="minorHAnsi"/>
                <w:b/>
                <w:bCs/>
                <w:lang w:eastAsia="es-MX"/>
              </w:rPr>
            </w:pPr>
          </w:p>
          <w:p w:rsidR="00C9502D" w:rsidRPr="00692FAD" w:rsidRDefault="00C9502D" w:rsidP="009A67E9">
            <w:pPr>
              <w:spacing w:after="0" w:line="240" w:lineRule="auto"/>
              <w:jc w:val="center"/>
              <w:rPr>
                <w:rFonts w:cstheme="minorHAnsi"/>
                <w:b/>
                <w:bCs/>
                <w:lang w:val="es-MX" w:eastAsia="es-MX"/>
              </w:rPr>
            </w:pPr>
            <w:r w:rsidRPr="00692FAD">
              <w:rPr>
                <w:rFonts w:cstheme="minorHAnsi"/>
                <w:b/>
                <w:bCs/>
                <w:lang w:eastAsia="es-MX"/>
              </w:rPr>
              <w:t>DETALLE</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C9502D" w:rsidRPr="00692FAD" w:rsidRDefault="00C9502D" w:rsidP="009A67E9">
            <w:pPr>
              <w:spacing w:after="0" w:line="240" w:lineRule="auto"/>
              <w:jc w:val="center"/>
              <w:rPr>
                <w:rFonts w:cstheme="minorHAnsi"/>
                <w:b/>
                <w:bCs/>
                <w:lang w:val="es-MX" w:eastAsia="es-MX"/>
              </w:rPr>
            </w:pPr>
          </w:p>
          <w:p w:rsidR="00C9502D" w:rsidRPr="00692FAD" w:rsidRDefault="00C9502D" w:rsidP="009A67E9">
            <w:pPr>
              <w:spacing w:after="0" w:line="240" w:lineRule="auto"/>
              <w:jc w:val="center"/>
              <w:rPr>
                <w:rFonts w:cstheme="minorHAnsi"/>
                <w:b/>
                <w:bCs/>
                <w:lang w:val="es-MX" w:eastAsia="es-MX"/>
              </w:rPr>
            </w:pPr>
            <w:r w:rsidRPr="00692FAD">
              <w:rPr>
                <w:rFonts w:cstheme="minorHAnsi"/>
                <w:b/>
                <w:bCs/>
                <w:lang w:val="es-MX" w:eastAsia="es-MX"/>
              </w:rPr>
              <w:t>TOTAL</w:t>
            </w:r>
          </w:p>
        </w:tc>
      </w:tr>
      <w:tr w:rsidR="00C9502D" w:rsidRPr="00692FAD" w:rsidTr="009A67E9">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C9502D" w:rsidRPr="00692FAD" w:rsidRDefault="00C9502D" w:rsidP="009A67E9">
            <w:pPr>
              <w:spacing w:after="0" w:line="240" w:lineRule="auto"/>
              <w:rPr>
                <w:rFonts w:cstheme="minorHAnsi"/>
                <w:lang w:val="es-MX" w:eastAsia="es-MX"/>
              </w:rPr>
            </w:pPr>
            <w:r w:rsidRPr="00692FAD">
              <w:rPr>
                <w:rFonts w:cstheme="minorHAnsi"/>
                <w:lang w:val="es-MX" w:eastAsia="es-MX"/>
              </w:rPr>
              <w:t>EMISORES DE VALORES</w:t>
            </w:r>
          </w:p>
        </w:tc>
        <w:tc>
          <w:tcPr>
            <w:tcW w:w="1200" w:type="dxa"/>
            <w:tcBorders>
              <w:top w:val="nil"/>
              <w:left w:val="nil"/>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jc w:val="center"/>
              <w:rPr>
                <w:rFonts w:cstheme="minorHAnsi"/>
                <w:lang w:val="es-MX" w:eastAsia="es-MX"/>
              </w:rPr>
            </w:pPr>
            <w:r w:rsidRPr="00692FAD">
              <w:rPr>
                <w:rFonts w:cstheme="minorHAnsi"/>
                <w:lang w:val="es-MX" w:eastAsia="es-MX"/>
              </w:rPr>
              <w:t>124</w:t>
            </w:r>
          </w:p>
        </w:tc>
      </w:tr>
      <w:tr w:rsidR="00C9502D" w:rsidRPr="00692FAD" w:rsidTr="009A67E9">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C9502D" w:rsidRPr="00692FAD" w:rsidRDefault="00C9502D" w:rsidP="009A67E9">
            <w:pPr>
              <w:spacing w:after="0" w:line="240" w:lineRule="auto"/>
              <w:rPr>
                <w:rFonts w:cstheme="minorHAnsi"/>
                <w:lang w:val="es-MX" w:eastAsia="es-MX"/>
              </w:rPr>
            </w:pPr>
            <w:r w:rsidRPr="00692FAD">
              <w:rPr>
                <w:rFonts w:cstheme="minorHAnsi"/>
                <w:lang w:val="es-MX" w:eastAsia="es-MX"/>
              </w:rPr>
              <w:t>BOLSA DE VALORES</w:t>
            </w:r>
          </w:p>
        </w:tc>
        <w:tc>
          <w:tcPr>
            <w:tcW w:w="1200" w:type="dxa"/>
            <w:tcBorders>
              <w:top w:val="nil"/>
              <w:left w:val="nil"/>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jc w:val="center"/>
              <w:rPr>
                <w:rFonts w:cstheme="minorHAnsi"/>
                <w:lang w:val="es-MX" w:eastAsia="es-MX"/>
              </w:rPr>
            </w:pPr>
            <w:r w:rsidRPr="00692FAD">
              <w:rPr>
                <w:rFonts w:cstheme="minorHAnsi"/>
                <w:lang w:val="es-MX" w:eastAsia="es-MX"/>
              </w:rPr>
              <w:t>1</w:t>
            </w:r>
          </w:p>
        </w:tc>
      </w:tr>
      <w:tr w:rsidR="00C9502D" w:rsidRPr="00692FAD" w:rsidTr="009A67E9">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C9502D" w:rsidRPr="00692FAD" w:rsidRDefault="00C9502D" w:rsidP="009A67E9">
            <w:pPr>
              <w:spacing w:after="0" w:line="240" w:lineRule="auto"/>
              <w:rPr>
                <w:rFonts w:cstheme="minorHAnsi"/>
                <w:lang w:val="es-MX" w:eastAsia="es-MX"/>
              </w:rPr>
            </w:pPr>
            <w:r w:rsidRPr="00692FAD">
              <w:rPr>
                <w:rFonts w:cstheme="minorHAnsi"/>
                <w:lang w:val="es-MX" w:eastAsia="es-MX"/>
              </w:rPr>
              <w:t>CASAS DE VALORES</w:t>
            </w:r>
          </w:p>
        </w:tc>
        <w:tc>
          <w:tcPr>
            <w:tcW w:w="1200" w:type="dxa"/>
            <w:tcBorders>
              <w:top w:val="nil"/>
              <w:left w:val="nil"/>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jc w:val="center"/>
              <w:rPr>
                <w:rFonts w:cstheme="minorHAnsi"/>
                <w:lang w:val="es-MX" w:eastAsia="es-MX"/>
              </w:rPr>
            </w:pPr>
            <w:r w:rsidRPr="00692FAD">
              <w:rPr>
                <w:rFonts w:cstheme="minorHAnsi"/>
                <w:lang w:val="es-MX" w:eastAsia="es-MX"/>
              </w:rPr>
              <w:t>15</w:t>
            </w:r>
          </w:p>
        </w:tc>
      </w:tr>
      <w:tr w:rsidR="00C9502D" w:rsidRPr="00692FAD" w:rsidTr="009A67E9">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C9502D" w:rsidRPr="00692FAD" w:rsidRDefault="00C9502D" w:rsidP="009A67E9">
            <w:pPr>
              <w:spacing w:after="0" w:line="240" w:lineRule="auto"/>
              <w:rPr>
                <w:rFonts w:cstheme="minorHAnsi"/>
                <w:lang w:val="es-MX" w:eastAsia="es-MX"/>
              </w:rPr>
            </w:pPr>
            <w:r w:rsidRPr="00692FAD">
              <w:rPr>
                <w:rFonts w:cstheme="minorHAnsi"/>
                <w:lang w:val="es-MX" w:eastAsia="es-MX"/>
              </w:rPr>
              <w:t>CALIFICADORAS DE RIESGO</w:t>
            </w:r>
          </w:p>
        </w:tc>
        <w:tc>
          <w:tcPr>
            <w:tcW w:w="1200" w:type="dxa"/>
            <w:tcBorders>
              <w:top w:val="nil"/>
              <w:left w:val="nil"/>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jc w:val="center"/>
              <w:rPr>
                <w:rFonts w:cstheme="minorHAnsi"/>
                <w:lang w:val="es-MX" w:eastAsia="es-MX"/>
              </w:rPr>
            </w:pPr>
            <w:r w:rsidRPr="00692FAD">
              <w:rPr>
                <w:rFonts w:cstheme="minorHAnsi"/>
                <w:lang w:val="es-MX" w:eastAsia="es-MX"/>
              </w:rPr>
              <w:t>6</w:t>
            </w:r>
          </w:p>
        </w:tc>
      </w:tr>
      <w:tr w:rsidR="00C9502D" w:rsidRPr="00692FAD" w:rsidTr="009A67E9">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C9502D" w:rsidRPr="00692FAD" w:rsidRDefault="00C9502D" w:rsidP="009A67E9">
            <w:pPr>
              <w:spacing w:after="0" w:line="240" w:lineRule="auto"/>
              <w:rPr>
                <w:rFonts w:cstheme="minorHAnsi"/>
                <w:lang w:val="es-MX" w:eastAsia="es-MX"/>
              </w:rPr>
            </w:pPr>
            <w:r w:rsidRPr="00692FAD">
              <w:rPr>
                <w:rFonts w:cstheme="minorHAnsi"/>
                <w:lang w:val="es-MX" w:eastAsia="es-MX"/>
              </w:rPr>
              <w:t>ADMINISTRADORAS DE FONDOS Y FIDEICOMISOS</w:t>
            </w:r>
          </w:p>
        </w:tc>
        <w:tc>
          <w:tcPr>
            <w:tcW w:w="1200" w:type="dxa"/>
            <w:tcBorders>
              <w:top w:val="nil"/>
              <w:left w:val="nil"/>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jc w:val="center"/>
              <w:rPr>
                <w:rFonts w:cstheme="minorHAnsi"/>
                <w:lang w:val="es-MX" w:eastAsia="es-MX"/>
              </w:rPr>
            </w:pPr>
            <w:r w:rsidRPr="00692FAD">
              <w:rPr>
                <w:rFonts w:cstheme="minorHAnsi"/>
                <w:lang w:val="es-MX" w:eastAsia="es-MX"/>
              </w:rPr>
              <w:t>11</w:t>
            </w:r>
          </w:p>
        </w:tc>
      </w:tr>
      <w:tr w:rsidR="00C9502D" w:rsidRPr="00692FAD" w:rsidTr="009A67E9">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C9502D" w:rsidRPr="00692FAD" w:rsidRDefault="00C9502D" w:rsidP="009A67E9">
            <w:pPr>
              <w:spacing w:after="0" w:line="240" w:lineRule="auto"/>
              <w:rPr>
                <w:rFonts w:cstheme="minorHAnsi"/>
                <w:lang w:val="es-MX" w:eastAsia="es-MX"/>
              </w:rPr>
            </w:pPr>
            <w:r w:rsidRPr="00692FAD">
              <w:rPr>
                <w:rFonts w:cstheme="minorHAnsi"/>
                <w:lang w:val="es-MX" w:eastAsia="es-MX"/>
              </w:rPr>
              <w:t>AUDITORAS EXTERNAS</w:t>
            </w:r>
          </w:p>
        </w:tc>
        <w:tc>
          <w:tcPr>
            <w:tcW w:w="1200" w:type="dxa"/>
            <w:tcBorders>
              <w:top w:val="nil"/>
              <w:left w:val="nil"/>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jc w:val="center"/>
              <w:rPr>
                <w:rFonts w:cstheme="minorHAnsi"/>
                <w:lang w:val="es-MX" w:eastAsia="es-MX"/>
              </w:rPr>
            </w:pPr>
            <w:r w:rsidRPr="00692FAD">
              <w:rPr>
                <w:rFonts w:cstheme="minorHAnsi"/>
                <w:lang w:val="es-MX" w:eastAsia="es-MX"/>
              </w:rPr>
              <w:t>40</w:t>
            </w:r>
          </w:p>
        </w:tc>
      </w:tr>
      <w:tr w:rsidR="00C9502D" w:rsidRPr="00692FAD" w:rsidTr="009A67E9">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C9502D" w:rsidRPr="00692FAD" w:rsidRDefault="00C9502D" w:rsidP="009A67E9">
            <w:pPr>
              <w:spacing w:after="0" w:line="240" w:lineRule="auto"/>
              <w:rPr>
                <w:rFonts w:cstheme="minorHAnsi"/>
                <w:lang w:val="es-MX" w:eastAsia="es-MX"/>
              </w:rPr>
            </w:pPr>
            <w:r w:rsidRPr="00692FAD">
              <w:rPr>
                <w:rFonts w:cstheme="minorHAnsi"/>
                <w:lang w:val="es-MX" w:eastAsia="es-MX"/>
              </w:rPr>
              <w:t>ORIGINADORAS</w:t>
            </w:r>
          </w:p>
        </w:tc>
        <w:tc>
          <w:tcPr>
            <w:tcW w:w="1200" w:type="dxa"/>
            <w:tcBorders>
              <w:top w:val="nil"/>
              <w:left w:val="nil"/>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jc w:val="center"/>
              <w:rPr>
                <w:rFonts w:cstheme="minorHAnsi"/>
                <w:lang w:val="es-MX" w:eastAsia="es-MX"/>
              </w:rPr>
            </w:pPr>
            <w:r w:rsidRPr="00692FAD">
              <w:rPr>
                <w:rFonts w:cstheme="minorHAnsi"/>
                <w:lang w:val="es-MX" w:eastAsia="es-MX"/>
              </w:rPr>
              <w:t>1</w:t>
            </w:r>
          </w:p>
        </w:tc>
      </w:tr>
      <w:tr w:rsidR="00C9502D" w:rsidRPr="00692FAD" w:rsidTr="009A67E9">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C9502D" w:rsidRPr="00692FAD" w:rsidRDefault="00C9502D" w:rsidP="009A67E9">
            <w:pPr>
              <w:spacing w:after="0" w:line="240" w:lineRule="auto"/>
              <w:rPr>
                <w:rFonts w:cstheme="minorHAnsi"/>
                <w:lang w:val="es-MX" w:eastAsia="es-MX"/>
              </w:rPr>
            </w:pPr>
            <w:r w:rsidRPr="00692FAD">
              <w:rPr>
                <w:rFonts w:cstheme="minorHAnsi"/>
                <w:lang w:val="es-MX" w:eastAsia="es-MX"/>
              </w:rPr>
              <w:lastRenderedPageBreak/>
              <w:t>ASOCIACIONES GREMIALES</w:t>
            </w:r>
          </w:p>
        </w:tc>
        <w:tc>
          <w:tcPr>
            <w:tcW w:w="1200" w:type="dxa"/>
            <w:tcBorders>
              <w:top w:val="nil"/>
              <w:left w:val="nil"/>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jc w:val="center"/>
              <w:rPr>
                <w:rFonts w:cstheme="minorHAnsi"/>
                <w:lang w:val="es-MX" w:eastAsia="es-MX"/>
              </w:rPr>
            </w:pPr>
            <w:r w:rsidRPr="00692FAD">
              <w:rPr>
                <w:rFonts w:cstheme="minorHAnsi"/>
                <w:lang w:val="es-MX" w:eastAsia="es-MX"/>
              </w:rPr>
              <w:t>2</w:t>
            </w:r>
          </w:p>
        </w:tc>
      </w:tr>
      <w:tr w:rsidR="00C9502D" w:rsidRPr="00692FAD" w:rsidTr="009A67E9">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rPr>
                <w:rFonts w:cstheme="minorHAnsi"/>
                <w:lang w:val="es-MX" w:eastAsia="es-MX"/>
              </w:rPr>
            </w:pPr>
            <w:r w:rsidRPr="00692FAD">
              <w:rPr>
                <w:rFonts w:cstheme="minorHAnsi"/>
                <w:lang w:val="es-MX" w:eastAsia="es-MX"/>
              </w:rPr>
              <w:t>REPRESENTANTES DE OBLIGACIONISTAS</w:t>
            </w:r>
          </w:p>
        </w:tc>
        <w:tc>
          <w:tcPr>
            <w:tcW w:w="1200" w:type="dxa"/>
            <w:tcBorders>
              <w:top w:val="nil"/>
              <w:left w:val="nil"/>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jc w:val="center"/>
              <w:rPr>
                <w:rFonts w:cstheme="minorHAnsi"/>
                <w:lang w:val="es-MX" w:eastAsia="es-MX"/>
              </w:rPr>
            </w:pPr>
            <w:r w:rsidRPr="00692FAD">
              <w:rPr>
                <w:rFonts w:cstheme="minorHAnsi"/>
                <w:lang w:val="es-MX" w:eastAsia="es-MX"/>
              </w:rPr>
              <w:t>16</w:t>
            </w:r>
          </w:p>
        </w:tc>
      </w:tr>
      <w:tr w:rsidR="00C9502D" w:rsidRPr="00692FAD" w:rsidTr="009A67E9">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Deposito Centralizado de Compensación y Liquidación de Valores</w:t>
            </w:r>
          </w:p>
          <w:p w:rsidR="00C9502D" w:rsidRPr="00692FAD" w:rsidRDefault="00C9502D" w:rsidP="009A67E9">
            <w:pPr>
              <w:spacing w:after="0" w:line="240" w:lineRule="auto"/>
              <w:rPr>
                <w:rFonts w:cstheme="minorHAnsi"/>
                <w:lang w:val="es-MX" w:eastAsia="es-MX"/>
              </w:rPr>
            </w:pPr>
          </w:p>
        </w:tc>
        <w:tc>
          <w:tcPr>
            <w:tcW w:w="1200" w:type="dxa"/>
            <w:tcBorders>
              <w:top w:val="nil"/>
              <w:left w:val="nil"/>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jc w:val="center"/>
              <w:rPr>
                <w:rFonts w:cstheme="minorHAnsi"/>
                <w:lang w:val="es-MX" w:eastAsia="es-MX"/>
              </w:rPr>
            </w:pPr>
            <w:r w:rsidRPr="00692FAD">
              <w:rPr>
                <w:rFonts w:cstheme="minorHAnsi"/>
                <w:lang w:val="es-MX" w:eastAsia="es-MX"/>
              </w:rPr>
              <w:t>1</w:t>
            </w:r>
          </w:p>
        </w:tc>
      </w:tr>
      <w:tr w:rsidR="00C9502D" w:rsidRPr="00692FAD" w:rsidTr="009A67E9">
        <w:trPr>
          <w:trHeight w:val="315"/>
          <w:jc w:val="center"/>
        </w:trPr>
        <w:tc>
          <w:tcPr>
            <w:tcW w:w="5305" w:type="dxa"/>
            <w:tcBorders>
              <w:top w:val="nil"/>
              <w:left w:val="single" w:sz="8" w:space="0" w:color="auto"/>
              <w:bottom w:val="single" w:sz="8" w:space="0" w:color="auto"/>
              <w:right w:val="single" w:sz="8" w:space="0" w:color="auto"/>
            </w:tcBorders>
            <w:shd w:val="clear" w:color="auto" w:fill="auto"/>
            <w:noWrap/>
            <w:vAlign w:val="center"/>
            <w:hideMark/>
          </w:tcPr>
          <w:p w:rsidR="00C9502D" w:rsidRPr="00692FAD" w:rsidRDefault="00C9502D" w:rsidP="009A67E9">
            <w:pPr>
              <w:spacing w:after="0" w:line="240" w:lineRule="auto"/>
              <w:jc w:val="center"/>
              <w:rPr>
                <w:rFonts w:cstheme="minorHAnsi"/>
                <w:b/>
                <w:bCs/>
                <w:lang w:val="es-MX" w:eastAsia="es-MX"/>
              </w:rPr>
            </w:pPr>
            <w:r w:rsidRPr="00692FAD">
              <w:rPr>
                <w:rFonts w:cstheme="minorHAnsi"/>
                <w:b/>
                <w:bCs/>
                <w:lang w:eastAsia="es-MX"/>
              </w:rPr>
              <w:t>TOTAL</w:t>
            </w:r>
          </w:p>
        </w:tc>
        <w:tc>
          <w:tcPr>
            <w:tcW w:w="1200" w:type="dxa"/>
            <w:tcBorders>
              <w:top w:val="nil"/>
              <w:left w:val="nil"/>
              <w:bottom w:val="single" w:sz="8" w:space="0" w:color="auto"/>
              <w:right w:val="single" w:sz="8" w:space="0" w:color="auto"/>
            </w:tcBorders>
            <w:shd w:val="clear" w:color="auto" w:fill="auto"/>
            <w:noWrap/>
            <w:vAlign w:val="center"/>
          </w:tcPr>
          <w:p w:rsidR="00C9502D" w:rsidRPr="00692FAD" w:rsidRDefault="00C9502D" w:rsidP="009A67E9">
            <w:pPr>
              <w:spacing w:after="0" w:line="240" w:lineRule="auto"/>
              <w:jc w:val="center"/>
              <w:rPr>
                <w:rFonts w:cstheme="minorHAnsi"/>
                <w:b/>
                <w:bCs/>
                <w:lang w:val="es-MX" w:eastAsia="es-MX"/>
              </w:rPr>
            </w:pPr>
            <w:r w:rsidRPr="00692FAD">
              <w:rPr>
                <w:rFonts w:cstheme="minorHAnsi"/>
                <w:b/>
                <w:bCs/>
                <w:lang w:val="es-MX" w:eastAsia="es-MX"/>
              </w:rPr>
              <w:t>217</w:t>
            </w:r>
          </w:p>
        </w:tc>
      </w:tr>
      <w:tr w:rsidR="00C9502D" w:rsidRPr="00692FAD" w:rsidTr="009A67E9">
        <w:trPr>
          <w:trHeight w:val="300"/>
          <w:jc w:val="center"/>
        </w:trPr>
        <w:tc>
          <w:tcPr>
            <w:tcW w:w="5305" w:type="dxa"/>
            <w:tcBorders>
              <w:top w:val="nil"/>
              <w:left w:val="nil"/>
              <w:bottom w:val="nil"/>
              <w:right w:val="nil"/>
            </w:tcBorders>
            <w:shd w:val="clear" w:color="auto" w:fill="auto"/>
            <w:noWrap/>
            <w:vAlign w:val="center"/>
            <w:hideMark/>
          </w:tcPr>
          <w:p w:rsidR="00C9502D" w:rsidRPr="00692FAD" w:rsidRDefault="00C9502D" w:rsidP="009A67E9">
            <w:pPr>
              <w:spacing w:after="0" w:line="240" w:lineRule="auto"/>
              <w:rPr>
                <w:rFonts w:cstheme="minorHAnsi"/>
                <w:lang w:val="es-MX" w:eastAsia="es-MX"/>
              </w:rPr>
            </w:pPr>
            <w:r w:rsidRPr="00692FAD">
              <w:rPr>
                <w:rFonts w:cstheme="minorHAnsi"/>
                <w:lang w:val="es-MX" w:eastAsia="es-MX"/>
              </w:rPr>
              <w:t>FUENTE: Sistema integrado de Mercado de Valores - SCVS</w:t>
            </w:r>
          </w:p>
        </w:tc>
        <w:tc>
          <w:tcPr>
            <w:tcW w:w="1200" w:type="dxa"/>
            <w:tcBorders>
              <w:top w:val="nil"/>
              <w:left w:val="nil"/>
              <w:bottom w:val="nil"/>
              <w:right w:val="nil"/>
            </w:tcBorders>
            <w:shd w:val="clear" w:color="auto" w:fill="auto"/>
            <w:noWrap/>
            <w:vAlign w:val="bottom"/>
            <w:hideMark/>
          </w:tcPr>
          <w:p w:rsidR="00C9502D" w:rsidRPr="00692FAD" w:rsidRDefault="00C9502D" w:rsidP="009A67E9">
            <w:pPr>
              <w:spacing w:after="0" w:line="240" w:lineRule="auto"/>
              <w:rPr>
                <w:rFonts w:cstheme="minorHAnsi"/>
                <w:lang w:val="es-MX" w:eastAsia="es-MX"/>
              </w:rPr>
            </w:pPr>
          </w:p>
        </w:tc>
      </w:tr>
    </w:tbl>
    <w:p w:rsidR="00C9502D" w:rsidRPr="00692FAD" w:rsidRDefault="00C9502D" w:rsidP="00C9502D">
      <w:pPr>
        <w:rPr>
          <w:rFonts w:cstheme="minorHAnsi"/>
          <w:lang w:val="es-ES" w:eastAsia="es-EC"/>
        </w:rPr>
      </w:pPr>
    </w:p>
    <w:p w:rsidR="003A4522" w:rsidRPr="00692FAD" w:rsidRDefault="003A4522" w:rsidP="003A4522">
      <w:pPr>
        <w:pStyle w:val="Epgrafe"/>
        <w:rPr>
          <w:rFonts w:cstheme="minorHAnsi"/>
          <w:sz w:val="22"/>
          <w:szCs w:val="22"/>
          <w:lang w:eastAsia="es-EC"/>
        </w:rPr>
      </w:pPr>
      <w:bookmarkStart w:id="10" w:name="_Toc94576290"/>
      <w:bookmarkStart w:id="11" w:name="_Toc94577883"/>
      <w:r w:rsidRPr="00692FAD">
        <w:rPr>
          <w:rFonts w:cstheme="minorHAnsi"/>
          <w:sz w:val="22"/>
          <w:szCs w:val="22"/>
        </w:rPr>
        <w:t xml:space="preserve">Tabla </w:t>
      </w:r>
      <w:r w:rsidRPr="00692FAD">
        <w:rPr>
          <w:rFonts w:cstheme="minorHAnsi"/>
          <w:sz w:val="22"/>
          <w:szCs w:val="22"/>
        </w:rPr>
        <w:fldChar w:fldCharType="begin"/>
      </w:r>
      <w:r w:rsidRPr="00692FAD">
        <w:rPr>
          <w:rFonts w:cstheme="minorHAnsi"/>
          <w:sz w:val="22"/>
          <w:szCs w:val="22"/>
        </w:rPr>
        <w:instrText xml:space="preserve"> SEQ Tabla \* ARABIC </w:instrText>
      </w:r>
      <w:r w:rsidRPr="00692FAD">
        <w:rPr>
          <w:rFonts w:cstheme="minorHAnsi"/>
          <w:sz w:val="22"/>
          <w:szCs w:val="22"/>
        </w:rPr>
        <w:fldChar w:fldCharType="separate"/>
      </w:r>
      <w:r w:rsidRPr="00692FAD">
        <w:rPr>
          <w:rFonts w:cstheme="minorHAnsi"/>
          <w:noProof/>
          <w:sz w:val="22"/>
          <w:szCs w:val="22"/>
        </w:rPr>
        <w:t>10</w:t>
      </w:r>
      <w:r w:rsidRPr="00692FAD">
        <w:rPr>
          <w:rFonts w:cstheme="minorHAnsi"/>
          <w:sz w:val="22"/>
          <w:szCs w:val="22"/>
        </w:rPr>
        <w:fldChar w:fldCharType="end"/>
      </w:r>
      <w:r w:rsidRPr="00692FAD">
        <w:rPr>
          <w:rFonts w:cstheme="minorHAnsi"/>
          <w:sz w:val="22"/>
          <w:szCs w:val="22"/>
          <w:lang w:val="es-MX" w:eastAsia="es-EC"/>
        </w:rPr>
        <w:t>.-</w:t>
      </w:r>
      <w:r w:rsidRPr="00692FAD">
        <w:rPr>
          <w:rFonts w:cstheme="minorHAnsi"/>
          <w:i/>
          <w:sz w:val="22"/>
          <w:szCs w:val="22"/>
          <w:lang w:val="es-MX" w:eastAsia="es-EC"/>
        </w:rPr>
        <w:t xml:space="preserve"> </w:t>
      </w:r>
      <w:r w:rsidRPr="00692FAD">
        <w:rPr>
          <w:rFonts w:cstheme="minorHAnsi"/>
          <w:b w:val="0"/>
          <w:sz w:val="22"/>
          <w:szCs w:val="22"/>
          <w:lang w:val="es-MX" w:eastAsia="es-EC"/>
        </w:rPr>
        <w:t>Registre el</w:t>
      </w:r>
      <w:r w:rsidRPr="00692FAD">
        <w:rPr>
          <w:rFonts w:cstheme="minorHAnsi"/>
          <w:b w:val="0"/>
          <w:i/>
          <w:sz w:val="22"/>
          <w:szCs w:val="22"/>
          <w:lang w:val="es-MX" w:eastAsia="es-EC"/>
        </w:rPr>
        <w:t xml:space="preserve"> </w:t>
      </w:r>
      <w:r w:rsidRPr="00692FAD">
        <w:rPr>
          <w:rFonts w:cstheme="minorHAnsi"/>
          <w:b w:val="0"/>
          <w:sz w:val="22"/>
          <w:szCs w:val="22"/>
          <w:lang w:eastAsia="es-EC"/>
        </w:rPr>
        <w:t>Catastro Público del Mercado de Valores, explique la tabla:</w:t>
      </w:r>
      <w:bookmarkEnd w:id="10"/>
      <w:bookmarkEnd w:id="11"/>
    </w:p>
    <w:p w:rsidR="003A4522" w:rsidRPr="00692FAD" w:rsidRDefault="003A4522" w:rsidP="003A4522">
      <w:pPr>
        <w:spacing w:after="0" w:line="360" w:lineRule="auto"/>
        <w:ind w:firstLine="708"/>
        <w:jc w:val="both"/>
        <w:rPr>
          <w:rFonts w:eastAsiaTheme="minorEastAsia" w:cstheme="minorHAnsi"/>
          <w:b/>
          <w:i/>
          <w:lang w:val="es-MX" w:eastAsia="es-EC"/>
        </w:rPr>
      </w:pPr>
    </w:p>
    <w:tbl>
      <w:tblPr>
        <w:tblW w:w="6505" w:type="dxa"/>
        <w:jc w:val="center"/>
        <w:tblCellMar>
          <w:left w:w="70" w:type="dxa"/>
          <w:right w:w="70" w:type="dxa"/>
        </w:tblCellMar>
        <w:tblLook w:val="04A0" w:firstRow="1" w:lastRow="0" w:firstColumn="1" w:lastColumn="0" w:noHBand="0" w:noVBand="1"/>
      </w:tblPr>
      <w:tblGrid>
        <w:gridCol w:w="1740"/>
        <w:gridCol w:w="1900"/>
        <w:gridCol w:w="1665"/>
        <w:gridCol w:w="55"/>
        <w:gridCol w:w="1145"/>
      </w:tblGrid>
      <w:tr w:rsidR="00C9502D" w:rsidRPr="00692FAD" w:rsidTr="009A67E9">
        <w:trPr>
          <w:gridAfter w:val="1"/>
          <w:wAfter w:w="1145" w:type="dxa"/>
          <w:trHeight w:val="600"/>
          <w:jc w:val="center"/>
        </w:trPr>
        <w:tc>
          <w:tcPr>
            <w:tcW w:w="17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9502D" w:rsidRPr="00692FAD" w:rsidRDefault="00C9502D" w:rsidP="009A67E9">
            <w:pPr>
              <w:jc w:val="center"/>
              <w:rPr>
                <w:rFonts w:cstheme="minorHAnsi"/>
                <w:b/>
                <w:bCs/>
                <w:lang w:val="es-MX" w:eastAsia="es-MX"/>
              </w:rPr>
            </w:pPr>
            <w:r w:rsidRPr="00692FAD">
              <w:rPr>
                <w:rFonts w:cstheme="minorHAnsi"/>
                <w:b/>
                <w:bCs/>
                <w:lang w:val="es-MX" w:eastAsia="es-MX"/>
              </w:rPr>
              <w:t>Índices creados</w:t>
            </w:r>
          </w:p>
        </w:tc>
        <w:tc>
          <w:tcPr>
            <w:tcW w:w="1900" w:type="dxa"/>
            <w:tcBorders>
              <w:top w:val="single" w:sz="8" w:space="0" w:color="auto"/>
              <w:left w:val="nil"/>
              <w:bottom w:val="single" w:sz="8" w:space="0" w:color="auto"/>
              <w:right w:val="single" w:sz="8" w:space="0" w:color="auto"/>
            </w:tcBorders>
            <w:shd w:val="clear" w:color="auto" w:fill="auto"/>
            <w:vAlign w:val="center"/>
            <w:hideMark/>
          </w:tcPr>
          <w:p w:rsidR="00C9502D" w:rsidRPr="00692FAD" w:rsidRDefault="00C9502D" w:rsidP="009A67E9">
            <w:pPr>
              <w:jc w:val="center"/>
              <w:rPr>
                <w:rFonts w:cstheme="minorHAnsi"/>
                <w:b/>
                <w:bCs/>
                <w:lang w:val="es-MX" w:eastAsia="es-MX"/>
              </w:rPr>
            </w:pPr>
            <w:r w:rsidRPr="00692FAD">
              <w:rPr>
                <w:rFonts w:cstheme="minorHAnsi"/>
                <w:b/>
                <w:bCs/>
                <w:lang w:val="es-MX" w:eastAsia="es-MX"/>
              </w:rPr>
              <w:t>Documentos</w:t>
            </w:r>
            <w:r w:rsidRPr="00692FAD">
              <w:rPr>
                <w:rFonts w:cstheme="minorHAnsi"/>
                <w:b/>
                <w:bCs/>
                <w:lang w:val="es-MX" w:eastAsia="es-MX"/>
              </w:rPr>
              <w:br/>
              <w:t>digitalizados</w:t>
            </w:r>
          </w:p>
        </w:tc>
        <w:tc>
          <w:tcPr>
            <w:tcW w:w="1720" w:type="dxa"/>
            <w:gridSpan w:val="2"/>
            <w:tcBorders>
              <w:top w:val="single" w:sz="8" w:space="0" w:color="auto"/>
              <w:left w:val="nil"/>
              <w:bottom w:val="single" w:sz="8" w:space="0" w:color="auto"/>
              <w:right w:val="single" w:sz="8" w:space="0" w:color="auto"/>
            </w:tcBorders>
            <w:shd w:val="clear" w:color="auto" w:fill="auto"/>
            <w:vAlign w:val="center"/>
            <w:hideMark/>
          </w:tcPr>
          <w:p w:rsidR="00C9502D" w:rsidRPr="00692FAD" w:rsidRDefault="00C9502D" w:rsidP="009A67E9">
            <w:pPr>
              <w:jc w:val="center"/>
              <w:rPr>
                <w:rFonts w:cstheme="minorHAnsi"/>
                <w:b/>
                <w:bCs/>
                <w:lang w:val="es-MX" w:eastAsia="es-MX"/>
              </w:rPr>
            </w:pPr>
            <w:r w:rsidRPr="00692FAD">
              <w:rPr>
                <w:rFonts w:cstheme="minorHAnsi"/>
                <w:b/>
                <w:bCs/>
                <w:lang w:val="es-MX" w:eastAsia="es-MX"/>
              </w:rPr>
              <w:t>Páginas</w:t>
            </w:r>
            <w:r w:rsidRPr="00692FAD">
              <w:rPr>
                <w:rFonts w:cstheme="minorHAnsi"/>
                <w:b/>
                <w:bCs/>
                <w:lang w:val="es-MX" w:eastAsia="es-MX"/>
              </w:rPr>
              <w:br/>
              <w:t xml:space="preserve">digitalizadas </w:t>
            </w:r>
          </w:p>
        </w:tc>
      </w:tr>
      <w:tr w:rsidR="00C9502D" w:rsidRPr="00692FAD" w:rsidTr="009A67E9">
        <w:trPr>
          <w:gridAfter w:val="1"/>
          <w:wAfter w:w="1145" w:type="dxa"/>
          <w:trHeight w:val="315"/>
          <w:jc w:val="center"/>
        </w:trPr>
        <w:tc>
          <w:tcPr>
            <w:tcW w:w="1740" w:type="dxa"/>
            <w:tcBorders>
              <w:top w:val="nil"/>
              <w:left w:val="single" w:sz="8" w:space="0" w:color="auto"/>
              <w:bottom w:val="single" w:sz="8" w:space="0" w:color="auto"/>
              <w:right w:val="single" w:sz="8" w:space="0" w:color="auto"/>
            </w:tcBorders>
            <w:shd w:val="clear" w:color="auto" w:fill="auto"/>
            <w:vAlign w:val="center"/>
          </w:tcPr>
          <w:p w:rsidR="00C9502D" w:rsidRPr="00692FAD" w:rsidRDefault="00C9502D" w:rsidP="009A67E9">
            <w:pPr>
              <w:jc w:val="center"/>
              <w:rPr>
                <w:rFonts w:cstheme="minorHAnsi"/>
                <w:lang w:val="es-MX" w:eastAsia="es-MX"/>
              </w:rPr>
            </w:pPr>
            <w:r w:rsidRPr="00692FAD">
              <w:rPr>
                <w:rFonts w:cstheme="minorHAnsi"/>
                <w:lang w:val="es-MX" w:eastAsia="es-MX"/>
              </w:rPr>
              <w:t>4604</w:t>
            </w:r>
          </w:p>
        </w:tc>
        <w:tc>
          <w:tcPr>
            <w:tcW w:w="1900" w:type="dxa"/>
            <w:tcBorders>
              <w:top w:val="nil"/>
              <w:left w:val="nil"/>
              <w:bottom w:val="single" w:sz="8" w:space="0" w:color="auto"/>
              <w:right w:val="single" w:sz="8" w:space="0" w:color="auto"/>
            </w:tcBorders>
            <w:shd w:val="clear" w:color="auto" w:fill="auto"/>
            <w:vAlign w:val="center"/>
          </w:tcPr>
          <w:p w:rsidR="00C9502D" w:rsidRPr="00692FAD" w:rsidRDefault="00C9502D" w:rsidP="009A67E9">
            <w:pPr>
              <w:jc w:val="center"/>
              <w:rPr>
                <w:rFonts w:cstheme="minorHAnsi"/>
                <w:lang w:val="es-MX" w:eastAsia="es-MX"/>
              </w:rPr>
            </w:pPr>
            <w:r w:rsidRPr="00692FAD">
              <w:rPr>
                <w:rFonts w:eastAsia="Times New Roman" w:cstheme="minorHAnsi"/>
                <w:color w:val="000000"/>
                <w:lang w:eastAsia="es-EC"/>
              </w:rPr>
              <w:t>4616</w:t>
            </w:r>
          </w:p>
        </w:tc>
        <w:tc>
          <w:tcPr>
            <w:tcW w:w="1720" w:type="dxa"/>
            <w:gridSpan w:val="2"/>
            <w:tcBorders>
              <w:top w:val="nil"/>
              <w:left w:val="nil"/>
              <w:bottom w:val="single" w:sz="8" w:space="0" w:color="auto"/>
              <w:right w:val="single" w:sz="8" w:space="0" w:color="auto"/>
            </w:tcBorders>
            <w:shd w:val="clear" w:color="auto" w:fill="auto"/>
            <w:vAlign w:val="center"/>
          </w:tcPr>
          <w:p w:rsidR="00C9502D" w:rsidRPr="00692FAD" w:rsidRDefault="00C9502D" w:rsidP="009A67E9">
            <w:pPr>
              <w:jc w:val="center"/>
              <w:rPr>
                <w:rFonts w:cstheme="minorHAnsi"/>
                <w:lang w:val="es-MX" w:eastAsia="es-MX"/>
              </w:rPr>
            </w:pPr>
            <w:r w:rsidRPr="00692FAD">
              <w:rPr>
                <w:rFonts w:eastAsia="Times New Roman" w:cstheme="minorHAnsi"/>
                <w:color w:val="000000"/>
                <w:lang w:eastAsia="es-EC"/>
              </w:rPr>
              <w:t>222.631</w:t>
            </w:r>
          </w:p>
        </w:tc>
      </w:tr>
      <w:tr w:rsidR="00C9502D" w:rsidRPr="00692FAD" w:rsidTr="009A67E9">
        <w:trPr>
          <w:trHeight w:val="300"/>
          <w:jc w:val="center"/>
        </w:trPr>
        <w:tc>
          <w:tcPr>
            <w:tcW w:w="5305" w:type="dxa"/>
            <w:gridSpan w:val="3"/>
            <w:tcBorders>
              <w:top w:val="nil"/>
              <w:left w:val="nil"/>
              <w:bottom w:val="nil"/>
              <w:right w:val="nil"/>
            </w:tcBorders>
            <w:shd w:val="clear" w:color="auto" w:fill="auto"/>
            <w:noWrap/>
            <w:vAlign w:val="center"/>
            <w:hideMark/>
          </w:tcPr>
          <w:p w:rsidR="00C9502D" w:rsidRPr="00692FAD" w:rsidRDefault="00C9502D" w:rsidP="009A67E9">
            <w:pPr>
              <w:spacing w:after="0" w:line="240" w:lineRule="auto"/>
              <w:rPr>
                <w:rFonts w:cstheme="minorHAnsi"/>
                <w:lang w:val="es-MX" w:eastAsia="es-MX"/>
              </w:rPr>
            </w:pPr>
            <w:r w:rsidRPr="00692FAD">
              <w:rPr>
                <w:rFonts w:cstheme="minorHAnsi"/>
                <w:lang w:val="es-MX" w:eastAsia="es-MX"/>
              </w:rPr>
              <w:t>FUENTE: Sistema Digitalización - SCVS</w:t>
            </w:r>
          </w:p>
        </w:tc>
        <w:tc>
          <w:tcPr>
            <w:tcW w:w="1200" w:type="dxa"/>
            <w:gridSpan w:val="2"/>
            <w:tcBorders>
              <w:top w:val="nil"/>
              <w:left w:val="nil"/>
              <w:bottom w:val="nil"/>
              <w:right w:val="nil"/>
            </w:tcBorders>
            <w:shd w:val="clear" w:color="auto" w:fill="auto"/>
            <w:noWrap/>
            <w:vAlign w:val="bottom"/>
            <w:hideMark/>
          </w:tcPr>
          <w:p w:rsidR="00C9502D" w:rsidRPr="00692FAD" w:rsidRDefault="00C9502D" w:rsidP="009A67E9">
            <w:pPr>
              <w:spacing w:after="0" w:line="240" w:lineRule="auto"/>
              <w:rPr>
                <w:rFonts w:cstheme="minorHAnsi"/>
                <w:lang w:val="es-MX" w:eastAsia="es-MX"/>
              </w:rPr>
            </w:pPr>
          </w:p>
        </w:tc>
      </w:tr>
    </w:tbl>
    <w:p w:rsidR="00C9502D" w:rsidRPr="00692FAD" w:rsidRDefault="00C9502D" w:rsidP="00C9502D">
      <w:pPr>
        <w:spacing w:after="0" w:line="360" w:lineRule="auto"/>
        <w:jc w:val="both"/>
        <w:rPr>
          <w:rFonts w:cstheme="minorHAnsi"/>
          <w:lang w:val="es-MX"/>
        </w:rPr>
      </w:pPr>
    </w:p>
    <w:p w:rsidR="00C9502D" w:rsidRPr="00692FAD" w:rsidRDefault="00C9502D" w:rsidP="00C9502D">
      <w:pPr>
        <w:spacing w:after="0" w:line="240" w:lineRule="auto"/>
        <w:jc w:val="both"/>
        <w:rPr>
          <w:rFonts w:eastAsiaTheme="minorEastAsia" w:cstheme="minorHAnsi"/>
          <w:lang w:val="es-MX" w:eastAsia="es-EC"/>
        </w:rPr>
      </w:pPr>
      <w:r w:rsidRPr="00692FAD">
        <w:rPr>
          <w:rFonts w:eastAsiaTheme="minorEastAsia" w:cstheme="minorHAnsi"/>
          <w:lang w:val="es-MX" w:eastAsia="es-EC"/>
        </w:rPr>
        <w:t>En el proceso de digitalización de los archivos del año 2022 corresponden a los siguientes participantes, se archivaron en forma física en los expedientes de acuerdo a la sección Jurídica, económica y reservada:</w:t>
      </w:r>
    </w:p>
    <w:p w:rsidR="00C9502D" w:rsidRPr="00692FAD" w:rsidRDefault="00C9502D" w:rsidP="00C9502D">
      <w:pPr>
        <w:spacing w:after="0" w:line="240" w:lineRule="auto"/>
        <w:ind w:left="1440"/>
        <w:contextualSpacing/>
        <w:jc w:val="both"/>
        <w:rPr>
          <w:rFonts w:eastAsiaTheme="minorEastAsia" w:cstheme="minorHAnsi"/>
          <w:lang w:val="es-MX" w:eastAsia="es-EC"/>
        </w:rPr>
      </w:pPr>
    </w:p>
    <w:p w:rsidR="00C9502D" w:rsidRPr="00692FAD" w:rsidRDefault="00C9502D" w:rsidP="00C9502D">
      <w:pPr>
        <w:numPr>
          <w:ilvl w:val="0"/>
          <w:numId w:val="4"/>
        </w:num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Emisores de Valores</w:t>
      </w:r>
    </w:p>
    <w:p w:rsidR="00C9502D" w:rsidRPr="00692FAD" w:rsidRDefault="00C9502D" w:rsidP="00C9502D">
      <w:pPr>
        <w:numPr>
          <w:ilvl w:val="0"/>
          <w:numId w:val="4"/>
        </w:num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Bolsa de Valores</w:t>
      </w:r>
    </w:p>
    <w:p w:rsidR="00C9502D" w:rsidRPr="00692FAD" w:rsidRDefault="00C9502D" w:rsidP="00C9502D">
      <w:pPr>
        <w:numPr>
          <w:ilvl w:val="0"/>
          <w:numId w:val="4"/>
        </w:num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Casas de Valores</w:t>
      </w:r>
    </w:p>
    <w:p w:rsidR="00C9502D" w:rsidRPr="00692FAD" w:rsidRDefault="00C9502D" w:rsidP="00C9502D">
      <w:pPr>
        <w:numPr>
          <w:ilvl w:val="0"/>
          <w:numId w:val="4"/>
        </w:num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Calificadoras de Riesgo</w:t>
      </w:r>
    </w:p>
    <w:p w:rsidR="00C9502D" w:rsidRPr="00692FAD" w:rsidRDefault="00C9502D" w:rsidP="00C9502D">
      <w:pPr>
        <w:numPr>
          <w:ilvl w:val="0"/>
          <w:numId w:val="4"/>
        </w:num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Administradoras de Fondos y Fideicomisos</w:t>
      </w:r>
    </w:p>
    <w:p w:rsidR="00C9502D" w:rsidRPr="00692FAD" w:rsidRDefault="00C9502D" w:rsidP="00C9502D">
      <w:pPr>
        <w:numPr>
          <w:ilvl w:val="0"/>
          <w:numId w:val="4"/>
        </w:num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Deposito Centralizado de Compensación y Liquidación de Valores</w:t>
      </w:r>
    </w:p>
    <w:p w:rsidR="00C9502D" w:rsidRPr="00692FAD" w:rsidRDefault="00C9502D" w:rsidP="00C9502D">
      <w:pPr>
        <w:numPr>
          <w:ilvl w:val="0"/>
          <w:numId w:val="4"/>
        </w:num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Auditoras Externas</w:t>
      </w:r>
    </w:p>
    <w:p w:rsidR="00C9502D" w:rsidRPr="00692FAD" w:rsidRDefault="00C9502D" w:rsidP="00C9502D">
      <w:pPr>
        <w:numPr>
          <w:ilvl w:val="0"/>
          <w:numId w:val="4"/>
        </w:num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Originadores</w:t>
      </w:r>
    </w:p>
    <w:p w:rsidR="00C9502D" w:rsidRPr="00692FAD" w:rsidRDefault="00C9502D" w:rsidP="00C9502D">
      <w:pPr>
        <w:numPr>
          <w:ilvl w:val="0"/>
          <w:numId w:val="4"/>
        </w:num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Asociaciones Gremiales</w:t>
      </w:r>
    </w:p>
    <w:p w:rsidR="00C9502D" w:rsidRPr="00692FAD" w:rsidRDefault="00C9502D" w:rsidP="00C9502D">
      <w:pPr>
        <w:numPr>
          <w:ilvl w:val="0"/>
          <w:numId w:val="4"/>
        </w:num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Representantes de Obligacionistas</w:t>
      </w:r>
    </w:p>
    <w:p w:rsidR="00C9502D" w:rsidRPr="00692FAD" w:rsidRDefault="00C9502D" w:rsidP="00C9502D">
      <w:pPr>
        <w:numPr>
          <w:ilvl w:val="0"/>
          <w:numId w:val="4"/>
        </w:numPr>
        <w:spacing w:after="0" w:line="240" w:lineRule="auto"/>
        <w:contextualSpacing/>
        <w:jc w:val="both"/>
        <w:rPr>
          <w:rFonts w:eastAsiaTheme="minorEastAsia" w:cstheme="minorHAnsi"/>
          <w:lang w:val="es-MX" w:eastAsia="es-EC"/>
        </w:rPr>
      </w:pPr>
      <w:r w:rsidRPr="00692FAD">
        <w:rPr>
          <w:rFonts w:eastAsiaTheme="minorEastAsia" w:cstheme="minorHAnsi"/>
          <w:lang w:val="es-MX" w:eastAsia="es-EC"/>
        </w:rPr>
        <w:t>Operadores  de Valores</w:t>
      </w:r>
    </w:p>
    <w:p w:rsidR="00C9502D" w:rsidRPr="00692FAD" w:rsidRDefault="00C9502D" w:rsidP="00C9502D">
      <w:pPr>
        <w:spacing w:after="0" w:line="360" w:lineRule="auto"/>
        <w:jc w:val="both"/>
        <w:rPr>
          <w:rFonts w:cstheme="minorHAnsi"/>
          <w:lang w:val="es-MX"/>
        </w:rPr>
      </w:pPr>
    </w:p>
    <w:p w:rsidR="003A4522" w:rsidRDefault="003A4522" w:rsidP="003A4522">
      <w:pPr>
        <w:spacing w:after="0" w:line="360" w:lineRule="auto"/>
        <w:jc w:val="both"/>
        <w:rPr>
          <w:rFonts w:eastAsiaTheme="minorEastAsia" w:cstheme="minorHAnsi"/>
          <w:b/>
          <w:u w:val="single"/>
          <w:lang w:val="es-MX" w:eastAsia="es-EC"/>
        </w:rPr>
      </w:pPr>
    </w:p>
    <w:p w:rsidR="009417EA" w:rsidRDefault="009417EA" w:rsidP="003A4522">
      <w:pPr>
        <w:spacing w:after="0" w:line="360" w:lineRule="auto"/>
        <w:jc w:val="both"/>
        <w:rPr>
          <w:rFonts w:eastAsiaTheme="minorEastAsia" w:cstheme="minorHAnsi"/>
          <w:b/>
          <w:u w:val="single"/>
          <w:lang w:val="es-MX" w:eastAsia="es-EC"/>
        </w:rPr>
      </w:pPr>
    </w:p>
    <w:p w:rsidR="009417EA" w:rsidRDefault="009417EA" w:rsidP="003A4522">
      <w:pPr>
        <w:spacing w:after="0" w:line="360" w:lineRule="auto"/>
        <w:jc w:val="both"/>
        <w:rPr>
          <w:rFonts w:eastAsiaTheme="minorEastAsia" w:cstheme="minorHAnsi"/>
          <w:b/>
          <w:u w:val="single"/>
          <w:lang w:val="es-MX" w:eastAsia="es-EC"/>
        </w:rPr>
      </w:pPr>
    </w:p>
    <w:p w:rsidR="009417EA" w:rsidRDefault="009417EA" w:rsidP="003A4522">
      <w:pPr>
        <w:spacing w:after="0" w:line="360" w:lineRule="auto"/>
        <w:jc w:val="both"/>
        <w:rPr>
          <w:rFonts w:eastAsiaTheme="minorEastAsia" w:cstheme="minorHAnsi"/>
          <w:b/>
          <w:u w:val="single"/>
          <w:lang w:val="es-MX" w:eastAsia="es-EC"/>
        </w:rPr>
      </w:pPr>
    </w:p>
    <w:p w:rsidR="009417EA" w:rsidRDefault="009417EA" w:rsidP="003A4522">
      <w:pPr>
        <w:spacing w:after="0" w:line="360" w:lineRule="auto"/>
        <w:jc w:val="both"/>
        <w:rPr>
          <w:rFonts w:eastAsiaTheme="minorEastAsia" w:cstheme="minorHAnsi"/>
          <w:b/>
          <w:u w:val="single"/>
          <w:lang w:val="es-MX" w:eastAsia="es-EC"/>
        </w:rPr>
      </w:pPr>
    </w:p>
    <w:p w:rsidR="009417EA" w:rsidRDefault="009417EA" w:rsidP="003A4522">
      <w:pPr>
        <w:spacing w:after="0" w:line="360" w:lineRule="auto"/>
        <w:jc w:val="both"/>
        <w:rPr>
          <w:rFonts w:eastAsiaTheme="minorEastAsia" w:cstheme="minorHAnsi"/>
          <w:b/>
          <w:u w:val="single"/>
          <w:lang w:val="es-MX" w:eastAsia="es-EC"/>
        </w:rPr>
      </w:pPr>
    </w:p>
    <w:p w:rsidR="009417EA" w:rsidRDefault="009417EA" w:rsidP="003A4522">
      <w:pPr>
        <w:spacing w:after="0" w:line="360" w:lineRule="auto"/>
        <w:jc w:val="both"/>
        <w:rPr>
          <w:rFonts w:eastAsiaTheme="minorEastAsia" w:cstheme="minorHAnsi"/>
          <w:b/>
          <w:u w:val="single"/>
          <w:lang w:val="es-MX" w:eastAsia="es-EC"/>
        </w:rPr>
      </w:pPr>
    </w:p>
    <w:p w:rsidR="003A4522" w:rsidRPr="00692FAD" w:rsidRDefault="003A4522" w:rsidP="003A4522">
      <w:pPr>
        <w:spacing w:after="0" w:line="360" w:lineRule="auto"/>
        <w:jc w:val="both"/>
        <w:rPr>
          <w:rFonts w:eastAsiaTheme="minorEastAsia" w:cstheme="minorHAnsi"/>
          <w:lang w:val="es-MX" w:eastAsia="es-EC"/>
        </w:rPr>
      </w:pPr>
      <w:bookmarkStart w:id="12" w:name="_Toc94577853"/>
      <w:r w:rsidRPr="00692FAD">
        <w:rPr>
          <w:rStyle w:val="Ttulo4Car"/>
          <w:sz w:val="22"/>
          <w:szCs w:val="22"/>
          <w:highlight w:val="yellow"/>
        </w:rPr>
        <w:lastRenderedPageBreak/>
        <w:t>Promoción, Orientación y Educación al Inversionista</w:t>
      </w:r>
      <w:bookmarkEnd w:id="12"/>
      <w:r w:rsidRPr="00692FAD">
        <w:rPr>
          <w:rFonts w:eastAsiaTheme="minorEastAsia" w:cstheme="minorHAnsi"/>
          <w:highlight w:val="yellow"/>
          <w:lang w:val="es-MX" w:eastAsia="es-EC"/>
        </w:rPr>
        <w:t xml:space="preserve">. - </w:t>
      </w:r>
      <w:r w:rsidRPr="009417EA">
        <w:rPr>
          <w:rFonts w:eastAsiaTheme="minorEastAsia" w:cstheme="minorHAnsi"/>
          <w:lang w:val="es-MX" w:eastAsia="es-EC"/>
        </w:rPr>
        <w:t>Describa brevemente la gestión</w:t>
      </w:r>
      <w:r w:rsidRPr="00692FAD">
        <w:rPr>
          <w:rFonts w:eastAsiaTheme="minorEastAsia" w:cstheme="minorHAnsi"/>
          <w:lang w:val="es-MX" w:eastAsia="es-EC"/>
        </w:rPr>
        <w:t xml:space="preserve"> realizada:</w:t>
      </w:r>
    </w:p>
    <w:p w:rsidR="003A4522" w:rsidRPr="00692FAD" w:rsidRDefault="003A4522" w:rsidP="003A4522">
      <w:pPr>
        <w:spacing w:after="0" w:line="360" w:lineRule="auto"/>
        <w:jc w:val="both"/>
        <w:rPr>
          <w:rFonts w:eastAsiaTheme="minorEastAsia" w:cstheme="minorHAnsi"/>
          <w:lang w:val="es-MX" w:eastAsia="es-EC"/>
        </w:rPr>
      </w:pPr>
      <w:r w:rsidRPr="00692FAD">
        <w:rPr>
          <w:rFonts w:eastAsiaTheme="minorEastAsia" w:cstheme="minorHAnsi"/>
          <w:noProof/>
          <w:lang w:val="es-ES" w:eastAsia="es-ES"/>
        </w:rPr>
        <mc:AlternateContent>
          <mc:Choice Requires="wps">
            <w:drawing>
              <wp:anchor distT="0" distB="0" distL="114300" distR="114300" simplePos="0" relativeHeight="251660288" behindDoc="0" locked="0" layoutInCell="1" allowOverlap="1" wp14:anchorId="43A7A103" wp14:editId="10D8CC7B">
                <wp:simplePos x="0" y="0"/>
                <wp:positionH relativeFrom="column">
                  <wp:posOffset>1242</wp:posOffset>
                </wp:positionH>
                <wp:positionV relativeFrom="paragraph">
                  <wp:posOffset>120291</wp:posOffset>
                </wp:positionV>
                <wp:extent cx="6019800" cy="3403158"/>
                <wp:effectExtent l="0" t="0" r="19050" b="26035"/>
                <wp:wrapNone/>
                <wp:docPr id="3" name="124 Cuadro de texto"/>
                <wp:cNvGraphicFramePr/>
                <a:graphic xmlns:a="http://schemas.openxmlformats.org/drawingml/2006/main">
                  <a:graphicData uri="http://schemas.microsoft.com/office/word/2010/wordprocessingShape">
                    <wps:wsp>
                      <wps:cNvSpPr txBox="1"/>
                      <wps:spPr>
                        <a:xfrm>
                          <a:off x="0" y="0"/>
                          <a:ext cx="6019800" cy="3403158"/>
                        </a:xfrm>
                        <a:prstGeom prst="rect">
                          <a:avLst/>
                        </a:prstGeom>
                        <a:solidFill>
                          <a:sysClr val="window" lastClr="FFFFFF"/>
                        </a:solidFill>
                        <a:ln w="6350">
                          <a:solidFill>
                            <a:prstClr val="black"/>
                          </a:solidFill>
                        </a:ln>
                        <a:effectLst/>
                      </wps:spPr>
                      <wps:txbx>
                        <w:txbxContent>
                          <w:p w:rsidR="00B405A4" w:rsidRPr="00B405A4" w:rsidRDefault="00B405A4" w:rsidP="00B405A4">
                            <w:pPr>
                              <w:spacing w:after="0" w:line="360" w:lineRule="auto"/>
                              <w:jc w:val="both"/>
                              <w:rPr>
                                <w:sz w:val="24"/>
                                <w:szCs w:val="20"/>
                                <w:lang w:val="es-MX"/>
                              </w:rPr>
                            </w:pPr>
                            <w:r w:rsidRPr="00B405A4">
                              <w:rPr>
                                <w:sz w:val="24"/>
                                <w:szCs w:val="20"/>
                                <w:lang w:val="es-MX"/>
                              </w:rPr>
                              <w:t>Con el apoyo de la Dirección de Comunicación, a través de la convocatoria en las redes sociales de la Institución, se realizaron 41 eventos virtuales de promoción, orientación y educación al inversionista, en el que se inscribieron 6.003 personas interesadas en conocer sobre los diferentes temas de mercado de valores.  Cabe señalar que 14 eventos correspondieron a solicitudes realizadas por instituciones de educación superior (11),  la Dirección Nacional de Delitos contra la Vida, Muertes Violentas, Desapariciones, Extorsión y Secuestros (Dinased) (1), el Colegio de Contadores de Tungurahua (1)  y la Cámara de Comercio de Ambato (1).</w:t>
                            </w:r>
                          </w:p>
                          <w:p w:rsidR="003A4522" w:rsidRPr="008F627E" w:rsidRDefault="00B405A4" w:rsidP="00B405A4">
                            <w:pPr>
                              <w:spacing w:after="0" w:line="360" w:lineRule="auto"/>
                              <w:jc w:val="both"/>
                              <w:rPr>
                                <w:sz w:val="32"/>
                              </w:rPr>
                            </w:pPr>
                            <w:r w:rsidRPr="00B405A4">
                              <w:rPr>
                                <w:sz w:val="24"/>
                                <w:szCs w:val="20"/>
                                <w:lang w:val="es-MX"/>
                              </w:rPr>
                              <w:t>Los participantes de los eventos de capacitación pertenecían a entes del mercado de valores, instituciones públicas, asociaciones gremiales, empresas de auditoría externa no registradas en el CPMV, compañías de seguros, empresarios, estudios jurídicos, profesionales independientes, estudiantes universitarios y público en general.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4 Cuadro de texto" o:spid="_x0000_s1031" type="#_x0000_t202" style="position:absolute;left:0;text-align:left;margin-left:.1pt;margin-top:9.45pt;width:474pt;height:26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" fillcolor="window" strokeweight=".5pt">
                <v:textbox>
                  <w:txbxContent>
                    <w:p w:rsidR="00B405A4" w:rsidRPr="00B405A4" w:rsidRDefault="00B405A4" w:rsidP="00B405A4">
                      <w:pPr>
                        <w:spacing w:after="0" w:line="360" w:lineRule="auto"/>
                        <w:jc w:val="both"/>
                        <w:rPr>
                          <w:sz w:val="24"/>
                          <w:szCs w:val="20"/>
                          <w:lang w:val="es-MX"/>
                        </w:rPr>
                      </w:pPr>
                      <w:r w:rsidRPr="00B405A4">
                        <w:rPr>
                          <w:sz w:val="24"/>
                          <w:szCs w:val="20"/>
                          <w:lang w:val="es-MX"/>
                        </w:rPr>
                        <w:t>Con el apoyo de la Dirección de Comunicación, a través de la convocatoria en las redes sociales de la Institución, se realizaron 41 eventos virtuales de promoción, orientación y educación al inversionista, en el que se inscribieron 6.003 personas interesadas en conocer sobre los diferentes temas de mercado de valores.  Cabe señalar que 14 eventos correspondieron a solicitudes realizadas por instituciones de educación superior (11),  la Dirección Nacional de Delitos contra la Vida, Muertes Violentas, Desapariciones, Extorsión y Secuestros (</w:t>
                      </w:r>
                      <w:proofErr w:type="spellStart"/>
                      <w:r w:rsidRPr="00B405A4">
                        <w:rPr>
                          <w:sz w:val="24"/>
                          <w:szCs w:val="20"/>
                          <w:lang w:val="es-MX"/>
                        </w:rPr>
                        <w:t>Dinased</w:t>
                      </w:r>
                      <w:proofErr w:type="spellEnd"/>
                      <w:r w:rsidRPr="00B405A4">
                        <w:rPr>
                          <w:sz w:val="24"/>
                          <w:szCs w:val="20"/>
                          <w:lang w:val="es-MX"/>
                        </w:rPr>
                        <w:t>) (1), el Colegio de Contadores de Tungurahua (1)  y la Cámara de Comercio de Ambato (1).</w:t>
                      </w:r>
                    </w:p>
                    <w:p w:rsidR="003A4522" w:rsidRPr="008F627E" w:rsidRDefault="00B405A4" w:rsidP="00B405A4">
                      <w:pPr>
                        <w:spacing w:after="0" w:line="360" w:lineRule="auto"/>
                        <w:jc w:val="both"/>
                        <w:rPr>
                          <w:sz w:val="32"/>
                        </w:rPr>
                      </w:pPr>
                      <w:r w:rsidRPr="00B405A4">
                        <w:rPr>
                          <w:sz w:val="24"/>
                          <w:szCs w:val="20"/>
                          <w:lang w:val="es-MX"/>
                        </w:rPr>
                        <w:t>Los participantes de los eventos de capacitación pertenecían a entes del mercado de valores, instituciones públicas, asociaciones gremiales, empresas de auditoría externa no registradas en el CPMV, compañías de seguros, empresarios, estudios jurídicos, profesionales independientes, estudiantes universitarios y público en general.</w:t>
                      </w:r>
                    </w:p>
                  </w:txbxContent>
                </v:textbox>
              </v:shape>
            </w:pict>
          </mc:Fallback>
        </mc:AlternateContent>
      </w:r>
    </w:p>
    <w:p w:rsidR="003A4522" w:rsidRPr="00692FAD" w:rsidRDefault="003A4522" w:rsidP="003A4522">
      <w:pPr>
        <w:spacing w:after="0" w:line="360" w:lineRule="auto"/>
        <w:jc w:val="both"/>
        <w:rPr>
          <w:rFonts w:eastAsiaTheme="minorEastAsia" w:cstheme="minorHAnsi"/>
          <w:lang w:val="es-MX" w:eastAsia="es-EC"/>
        </w:rPr>
      </w:pPr>
    </w:p>
    <w:p w:rsidR="003A4522" w:rsidRPr="00692FAD" w:rsidRDefault="003A4522" w:rsidP="003A4522">
      <w:pPr>
        <w:spacing w:after="0" w:line="360" w:lineRule="auto"/>
        <w:jc w:val="both"/>
        <w:rPr>
          <w:rFonts w:eastAsiaTheme="minorEastAsia" w:cstheme="minorHAnsi"/>
          <w:lang w:val="es-MX" w:eastAsia="es-EC"/>
        </w:rPr>
      </w:pPr>
    </w:p>
    <w:p w:rsidR="003A4522" w:rsidRPr="00692FAD" w:rsidRDefault="003A4522" w:rsidP="003A4522">
      <w:pPr>
        <w:spacing w:after="0" w:line="360" w:lineRule="auto"/>
        <w:jc w:val="both"/>
        <w:rPr>
          <w:rFonts w:eastAsiaTheme="minorEastAsia" w:cstheme="minorHAnsi"/>
          <w:lang w:val="es-MX" w:eastAsia="es-EC"/>
        </w:rPr>
      </w:pPr>
    </w:p>
    <w:p w:rsidR="003A4522" w:rsidRPr="00692FAD" w:rsidRDefault="003A4522" w:rsidP="003A4522">
      <w:pPr>
        <w:spacing w:after="0" w:line="360" w:lineRule="auto"/>
        <w:jc w:val="both"/>
        <w:rPr>
          <w:rFonts w:eastAsiaTheme="minorEastAsia" w:cstheme="minorHAnsi"/>
          <w:lang w:val="es-MX" w:eastAsia="es-EC"/>
        </w:rPr>
      </w:pPr>
    </w:p>
    <w:p w:rsidR="003A4522" w:rsidRPr="00692FAD" w:rsidRDefault="003A4522" w:rsidP="003A4522">
      <w:pPr>
        <w:spacing w:after="0" w:line="360" w:lineRule="auto"/>
        <w:jc w:val="both"/>
        <w:rPr>
          <w:rFonts w:eastAsiaTheme="minorEastAsia" w:cstheme="minorHAnsi"/>
          <w:lang w:val="es-MX" w:eastAsia="es-EC"/>
        </w:rPr>
      </w:pPr>
    </w:p>
    <w:p w:rsidR="003A4522" w:rsidRPr="00692FAD" w:rsidRDefault="003A4522" w:rsidP="003A4522">
      <w:pPr>
        <w:spacing w:after="0" w:line="360" w:lineRule="auto"/>
        <w:jc w:val="both"/>
        <w:rPr>
          <w:rFonts w:eastAsiaTheme="minorEastAsia" w:cstheme="minorHAnsi"/>
          <w:lang w:val="es-MX" w:eastAsia="es-EC"/>
        </w:rPr>
      </w:pPr>
    </w:p>
    <w:p w:rsidR="003A4522" w:rsidRPr="00692FAD" w:rsidRDefault="003A4522" w:rsidP="003A4522">
      <w:pPr>
        <w:spacing w:after="0" w:line="360" w:lineRule="auto"/>
        <w:jc w:val="both"/>
        <w:rPr>
          <w:rFonts w:eastAsiaTheme="minorEastAsia" w:cstheme="minorHAnsi"/>
          <w:lang w:val="es-MX" w:eastAsia="es-EC"/>
        </w:rPr>
      </w:pPr>
    </w:p>
    <w:p w:rsidR="003A4522" w:rsidRPr="00692FAD" w:rsidRDefault="003A4522" w:rsidP="003A4522">
      <w:pPr>
        <w:spacing w:after="0" w:line="360" w:lineRule="auto"/>
        <w:jc w:val="both"/>
        <w:rPr>
          <w:rFonts w:eastAsiaTheme="minorEastAsia" w:cstheme="minorHAnsi"/>
          <w:lang w:val="es-MX" w:eastAsia="es-EC"/>
        </w:rPr>
      </w:pPr>
    </w:p>
    <w:p w:rsidR="003A4522" w:rsidRPr="00692FAD" w:rsidRDefault="003A4522" w:rsidP="003A4522">
      <w:pPr>
        <w:spacing w:after="0" w:line="360" w:lineRule="auto"/>
        <w:jc w:val="both"/>
        <w:rPr>
          <w:rFonts w:eastAsiaTheme="minorEastAsia" w:cstheme="minorHAnsi"/>
          <w:lang w:val="es-MX" w:eastAsia="es-EC"/>
        </w:rPr>
      </w:pPr>
    </w:p>
    <w:p w:rsidR="003A4522" w:rsidRPr="00692FAD" w:rsidRDefault="003A4522" w:rsidP="003A4522">
      <w:pPr>
        <w:spacing w:after="0" w:line="360" w:lineRule="auto"/>
        <w:jc w:val="both"/>
        <w:rPr>
          <w:rFonts w:eastAsiaTheme="minorEastAsia" w:cstheme="minorHAnsi"/>
          <w:lang w:val="es-MX" w:eastAsia="es-EC"/>
        </w:rPr>
      </w:pPr>
    </w:p>
    <w:p w:rsidR="003A4522" w:rsidRPr="00692FAD" w:rsidRDefault="003A4522" w:rsidP="003A4522">
      <w:pPr>
        <w:pStyle w:val="Epgrafe"/>
        <w:rPr>
          <w:rFonts w:cstheme="minorHAnsi"/>
          <w:sz w:val="22"/>
          <w:szCs w:val="22"/>
        </w:rPr>
      </w:pPr>
    </w:p>
    <w:p w:rsidR="00B405A4" w:rsidRPr="00692FAD" w:rsidRDefault="00B405A4" w:rsidP="00B405A4">
      <w:pPr>
        <w:rPr>
          <w:rFonts w:cstheme="minorHAnsi"/>
          <w:lang w:val="es-ES"/>
        </w:rPr>
      </w:pPr>
    </w:p>
    <w:p w:rsidR="00B405A4" w:rsidRPr="00692FAD" w:rsidRDefault="00B405A4" w:rsidP="00B405A4">
      <w:pPr>
        <w:rPr>
          <w:rFonts w:cstheme="minorHAnsi"/>
          <w:lang w:val="es-ES"/>
        </w:rPr>
      </w:pPr>
    </w:p>
    <w:p w:rsidR="00B405A4" w:rsidRPr="00692FAD" w:rsidRDefault="00B405A4" w:rsidP="00B405A4">
      <w:pPr>
        <w:rPr>
          <w:rFonts w:cstheme="minorHAnsi"/>
          <w:lang w:val="es-ES"/>
        </w:rPr>
      </w:pPr>
    </w:p>
    <w:p w:rsidR="003A4522" w:rsidRPr="00692FAD" w:rsidRDefault="003A4522" w:rsidP="003A4522">
      <w:pPr>
        <w:pStyle w:val="Epgrafe"/>
        <w:rPr>
          <w:rFonts w:cstheme="minorHAnsi"/>
          <w:sz w:val="22"/>
          <w:szCs w:val="22"/>
          <w:lang w:eastAsia="es-EC"/>
        </w:rPr>
      </w:pPr>
      <w:r w:rsidRPr="00692FAD">
        <w:rPr>
          <w:rFonts w:cstheme="minorHAnsi"/>
          <w:sz w:val="22"/>
          <w:szCs w:val="22"/>
        </w:rPr>
        <w:t xml:space="preserve">Tabla </w:t>
      </w:r>
      <w:r w:rsidRPr="00692FAD">
        <w:rPr>
          <w:rFonts w:cstheme="minorHAnsi"/>
          <w:sz w:val="22"/>
          <w:szCs w:val="22"/>
        </w:rPr>
        <w:fldChar w:fldCharType="begin"/>
      </w:r>
      <w:r w:rsidRPr="00692FAD">
        <w:rPr>
          <w:rFonts w:cstheme="minorHAnsi"/>
          <w:sz w:val="22"/>
          <w:szCs w:val="22"/>
        </w:rPr>
        <w:instrText xml:space="preserve"> SEQ Tabla \* ARABIC </w:instrText>
      </w:r>
      <w:r w:rsidRPr="00692FAD">
        <w:rPr>
          <w:rFonts w:cstheme="minorHAnsi"/>
          <w:sz w:val="22"/>
          <w:szCs w:val="22"/>
        </w:rPr>
        <w:fldChar w:fldCharType="separate"/>
      </w:r>
      <w:r w:rsidRPr="00692FAD">
        <w:rPr>
          <w:rFonts w:cstheme="minorHAnsi"/>
          <w:noProof/>
          <w:sz w:val="22"/>
          <w:szCs w:val="22"/>
        </w:rPr>
        <w:t>11</w:t>
      </w:r>
      <w:r w:rsidRPr="00692FAD">
        <w:rPr>
          <w:rFonts w:cstheme="minorHAnsi"/>
          <w:sz w:val="22"/>
          <w:szCs w:val="22"/>
        </w:rPr>
        <w:fldChar w:fldCharType="end"/>
      </w:r>
      <w:r w:rsidRPr="00692FAD">
        <w:rPr>
          <w:rFonts w:cstheme="minorHAnsi"/>
          <w:sz w:val="22"/>
          <w:szCs w:val="22"/>
        </w:rPr>
        <w:t>.-</w:t>
      </w:r>
      <w:r w:rsidRPr="00692FAD">
        <w:rPr>
          <w:rFonts w:cstheme="minorHAnsi"/>
          <w:i/>
          <w:sz w:val="22"/>
          <w:szCs w:val="22"/>
          <w:lang w:eastAsia="es-EC"/>
        </w:rPr>
        <w:t xml:space="preserve"> </w:t>
      </w:r>
      <w:r w:rsidRPr="00692FAD">
        <w:rPr>
          <w:rFonts w:cstheme="minorHAnsi"/>
          <w:b w:val="0"/>
          <w:sz w:val="22"/>
          <w:szCs w:val="22"/>
          <w:lang w:eastAsia="es-EC"/>
        </w:rPr>
        <w:t>Descripción de actividades realizadas por la Dirección y Promoción, Orientación y Educación al Inversionista:</w:t>
      </w:r>
    </w:p>
    <w:tbl>
      <w:tblPr>
        <w:tblStyle w:val="Tablaconcuadrcula"/>
        <w:tblW w:w="0" w:type="auto"/>
        <w:tblInd w:w="534" w:type="dxa"/>
        <w:tblLook w:val="04A0" w:firstRow="1" w:lastRow="0" w:firstColumn="1" w:lastColumn="0" w:noHBand="0" w:noVBand="1"/>
      </w:tblPr>
      <w:tblGrid>
        <w:gridCol w:w="1077"/>
        <w:gridCol w:w="2993"/>
        <w:gridCol w:w="4424"/>
      </w:tblGrid>
      <w:tr w:rsidR="003A4522" w:rsidRPr="00692FAD" w:rsidTr="00FD6BA4">
        <w:trPr>
          <w:trHeight w:val="133"/>
        </w:trPr>
        <w:tc>
          <w:tcPr>
            <w:tcW w:w="1077" w:type="dxa"/>
          </w:tcPr>
          <w:p w:rsidR="003A4522" w:rsidRPr="00692FAD" w:rsidRDefault="003A4522" w:rsidP="00FD6BA4">
            <w:pPr>
              <w:spacing w:after="200" w:line="276" w:lineRule="auto"/>
              <w:jc w:val="center"/>
              <w:rPr>
                <w:rFonts w:eastAsiaTheme="minorEastAsia" w:cstheme="minorHAnsi"/>
                <w:b/>
                <w:lang w:val="es-MX" w:eastAsia="es-EC"/>
              </w:rPr>
            </w:pPr>
            <w:r w:rsidRPr="00692FAD">
              <w:rPr>
                <w:rFonts w:eastAsiaTheme="minorEastAsia" w:cstheme="minorHAnsi"/>
                <w:b/>
                <w:lang w:val="es-MX" w:eastAsia="es-EC"/>
              </w:rPr>
              <w:t>NÚMERO</w:t>
            </w:r>
          </w:p>
        </w:tc>
        <w:tc>
          <w:tcPr>
            <w:tcW w:w="2993" w:type="dxa"/>
          </w:tcPr>
          <w:p w:rsidR="003A4522" w:rsidRPr="00692FAD" w:rsidRDefault="003A4522" w:rsidP="00FD6BA4">
            <w:pPr>
              <w:spacing w:after="200" w:line="276" w:lineRule="auto"/>
              <w:jc w:val="center"/>
              <w:rPr>
                <w:rFonts w:eastAsiaTheme="minorEastAsia" w:cstheme="minorHAnsi"/>
                <w:b/>
                <w:lang w:val="es-MX" w:eastAsia="es-EC"/>
              </w:rPr>
            </w:pPr>
            <w:r w:rsidRPr="00692FAD">
              <w:rPr>
                <w:rFonts w:eastAsiaTheme="minorEastAsia" w:cstheme="minorHAnsi"/>
                <w:b/>
                <w:lang w:val="es-MX" w:eastAsia="es-EC"/>
              </w:rPr>
              <w:t>ACTIVIDADES</w:t>
            </w:r>
          </w:p>
        </w:tc>
        <w:tc>
          <w:tcPr>
            <w:tcW w:w="4424" w:type="dxa"/>
          </w:tcPr>
          <w:p w:rsidR="003A4522" w:rsidRPr="00692FAD" w:rsidRDefault="003A4522" w:rsidP="00FD6BA4">
            <w:pPr>
              <w:spacing w:after="200" w:line="276" w:lineRule="auto"/>
              <w:jc w:val="center"/>
              <w:rPr>
                <w:rFonts w:eastAsiaTheme="minorEastAsia" w:cstheme="minorHAnsi"/>
                <w:b/>
                <w:lang w:val="es-MX" w:eastAsia="es-EC"/>
              </w:rPr>
            </w:pPr>
            <w:r w:rsidRPr="00692FAD">
              <w:rPr>
                <w:rFonts w:eastAsiaTheme="minorEastAsia" w:cstheme="minorHAnsi"/>
                <w:b/>
                <w:lang w:val="es-MX" w:eastAsia="es-EC"/>
              </w:rPr>
              <w:t>DESCRIPCIÓN</w:t>
            </w:r>
          </w:p>
        </w:tc>
      </w:tr>
      <w:tr w:rsidR="00B405A4" w:rsidRPr="00692FAD" w:rsidTr="00FD6BA4">
        <w:trPr>
          <w:trHeight w:val="268"/>
        </w:trPr>
        <w:tc>
          <w:tcPr>
            <w:tcW w:w="1077" w:type="dxa"/>
          </w:tcPr>
          <w:p w:rsidR="00B405A4" w:rsidRPr="00692FAD" w:rsidRDefault="00B405A4" w:rsidP="00FD6BA4">
            <w:pPr>
              <w:spacing w:after="200" w:line="276" w:lineRule="auto"/>
              <w:rPr>
                <w:rFonts w:eastAsiaTheme="minorEastAsia" w:cstheme="minorHAnsi"/>
                <w:lang w:val="es-MX" w:eastAsia="es-EC"/>
              </w:rPr>
            </w:pPr>
            <w:r w:rsidRPr="00692FAD">
              <w:rPr>
                <w:rFonts w:eastAsiaTheme="minorEastAsia" w:cstheme="minorHAnsi"/>
                <w:lang w:val="es-MX" w:eastAsia="es-EC"/>
              </w:rPr>
              <w:t>1.</w:t>
            </w:r>
          </w:p>
        </w:tc>
        <w:tc>
          <w:tcPr>
            <w:tcW w:w="2993" w:type="dxa"/>
          </w:tcPr>
          <w:p w:rsidR="00B405A4" w:rsidRPr="00692FAD" w:rsidRDefault="00B405A4" w:rsidP="00FD6BA4">
            <w:pPr>
              <w:spacing w:after="200" w:line="276" w:lineRule="auto"/>
              <w:rPr>
                <w:rFonts w:eastAsiaTheme="minorEastAsia" w:cstheme="minorHAnsi"/>
                <w:lang w:val="es-MX" w:eastAsia="es-EC"/>
              </w:rPr>
            </w:pPr>
            <w:r w:rsidRPr="00692FAD">
              <w:rPr>
                <w:rFonts w:eastAsiaTheme="minorEastAsia" w:cstheme="minorHAnsi"/>
                <w:lang w:val="es-MX" w:eastAsia="es-EC"/>
              </w:rPr>
              <w:t>Participación</w:t>
            </w:r>
          </w:p>
        </w:tc>
        <w:tc>
          <w:tcPr>
            <w:tcW w:w="4424" w:type="dxa"/>
          </w:tcPr>
          <w:p w:rsidR="00B405A4" w:rsidRPr="00692FAD" w:rsidRDefault="00B405A4" w:rsidP="00FD6BA4">
            <w:pPr>
              <w:spacing w:after="200" w:line="276" w:lineRule="auto"/>
              <w:rPr>
                <w:rFonts w:eastAsia="Times New Roman" w:cstheme="minorHAnsi"/>
                <w:lang w:val="es-MX" w:eastAsia="es-EC"/>
              </w:rPr>
            </w:pPr>
            <w:r w:rsidRPr="00692FAD">
              <w:rPr>
                <w:rFonts w:eastAsia="Times New Roman" w:cstheme="minorHAnsi"/>
                <w:lang w:val="es-MX" w:eastAsia="es-EC"/>
              </w:rPr>
              <w:t>6.003 participantes inscritos</w:t>
            </w:r>
          </w:p>
        </w:tc>
      </w:tr>
      <w:tr w:rsidR="00B405A4" w:rsidRPr="00692FAD" w:rsidTr="00FD6BA4">
        <w:trPr>
          <w:trHeight w:val="88"/>
        </w:trPr>
        <w:tc>
          <w:tcPr>
            <w:tcW w:w="1077" w:type="dxa"/>
          </w:tcPr>
          <w:p w:rsidR="00B405A4" w:rsidRPr="00692FAD" w:rsidRDefault="00B405A4" w:rsidP="00FD6BA4">
            <w:pPr>
              <w:spacing w:after="200" w:line="276" w:lineRule="auto"/>
              <w:rPr>
                <w:rFonts w:eastAsiaTheme="minorEastAsia" w:cstheme="minorHAnsi"/>
                <w:lang w:val="es-MX" w:eastAsia="es-EC"/>
              </w:rPr>
            </w:pPr>
            <w:r w:rsidRPr="00692FAD">
              <w:rPr>
                <w:rFonts w:eastAsiaTheme="minorEastAsia" w:cstheme="minorHAnsi"/>
                <w:lang w:val="es-MX" w:eastAsia="es-EC"/>
              </w:rPr>
              <w:t>2.</w:t>
            </w:r>
          </w:p>
        </w:tc>
        <w:tc>
          <w:tcPr>
            <w:tcW w:w="2993" w:type="dxa"/>
          </w:tcPr>
          <w:p w:rsidR="00B405A4" w:rsidRPr="00692FAD" w:rsidRDefault="00B405A4" w:rsidP="00FD6BA4">
            <w:pPr>
              <w:spacing w:after="200" w:line="276" w:lineRule="auto"/>
              <w:rPr>
                <w:rFonts w:eastAsiaTheme="minorEastAsia" w:cstheme="minorHAnsi"/>
                <w:lang w:val="es-MX" w:eastAsia="es-EC"/>
              </w:rPr>
            </w:pPr>
            <w:r w:rsidRPr="00692FAD">
              <w:rPr>
                <w:rFonts w:eastAsiaTheme="minorEastAsia" w:cstheme="minorHAnsi"/>
                <w:lang w:val="es-MX" w:eastAsia="es-EC"/>
              </w:rPr>
              <w:t>Eventos</w:t>
            </w:r>
          </w:p>
        </w:tc>
        <w:tc>
          <w:tcPr>
            <w:tcW w:w="4424" w:type="dxa"/>
          </w:tcPr>
          <w:p w:rsidR="00B405A4" w:rsidRPr="00692FAD" w:rsidRDefault="00B405A4" w:rsidP="00FD6BA4">
            <w:pPr>
              <w:spacing w:after="200" w:line="276" w:lineRule="auto"/>
              <w:rPr>
                <w:rFonts w:eastAsia="Times New Roman" w:cstheme="minorHAnsi"/>
                <w:lang w:val="es-MX" w:eastAsia="es-EC"/>
              </w:rPr>
            </w:pPr>
            <w:r w:rsidRPr="00692FAD">
              <w:rPr>
                <w:rFonts w:eastAsia="Times New Roman" w:cstheme="minorHAnsi"/>
                <w:lang w:val="es-MX" w:eastAsia="es-EC"/>
              </w:rPr>
              <w:t>41</w:t>
            </w:r>
          </w:p>
        </w:tc>
      </w:tr>
      <w:tr w:rsidR="00B405A4" w:rsidRPr="00692FAD" w:rsidTr="00FD6BA4">
        <w:trPr>
          <w:trHeight w:val="614"/>
        </w:trPr>
        <w:tc>
          <w:tcPr>
            <w:tcW w:w="1077" w:type="dxa"/>
          </w:tcPr>
          <w:p w:rsidR="00B405A4" w:rsidRPr="00692FAD" w:rsidRDefault="00B405A4" w:rsidP="00FD6BA4">
            <w:pPr>
              <w:spacing w:after="200" w:line="276" w:lineRule="auto"/>
              <w:rPr>
                <w:rFonts w:eastAsiaTheme="minorEastAsia" w:cstheme="minorHAnsi"/>
                <w:lang w:val="es-MX" w:eastAsia="es-EC"/>
              </w:rPr>
            </w:pPr>
            <w:r w:rsidRPr="00692FAD">
              <w:rPr>
                <w:rFonts w:eastAsiaTheme="minorEastAsia" w:cstheme="minorHAnsi"/>
                <w:lang w:val="es-MX" w:eastAsia="es-EC"/>
              </w:rPr>
              <w:t>3.</w:t>
            </w:r>
          </w:p>
        </w:tc>
        <w:tc>
          <w:tcPr>
            <w:tcW w:w="2993" w:type="dxa"/>
          </w:tcPr>
          <w:p w:rsidR="00B405A4" w:rsidRPr="00692FAD" w:rsidRDefault="00B405A4" w:rsidP="00FD6BA4">
            <w:pPr>
              <w:spacing w:after="200" w:line="276" w:lineRule="auto"/>
              <w:rPr>
                <w:rFonts w:eastAsiaTheme="minorEastAsia" w:cstheme="minorHAnsi"/>
                <w:lang w:val="es-MX" w:eastAsia="es-EC"/>
              </w:rPr>
            </w:pPr>
            <w:r w:rsidRPr="00692FAD">
              <w:rPr>
                <w:rFonts w:eastAsiaTheme="minorEastAsia" w:cstheme="minorHAnsi"/>
                <w:lang w:val="es-MX" w:eastAsia="es-EC"/>
              </w:rPr>
              <w:t>Capacitación</w:t>
            </w:r>
          </w:p>
        </w:tc>
        <w:tc>
          <w:tcPr>
            <w:tcW w:w="4424" w:type="dxa"/>
          </w:tcPr>
          <w:p w:rsidR="00B405A4" w:rsidRPr="00692FAD" w:rsidRDefault="00B405A4" w:rsidP="00FD6BA4">
            <w:pPr>
              <w:spacing w:after="200" w:line="276" w:lineRule="auto"/>
              <w:rPr>
                <w:rFonts w:eastAsia="Times New Roman" w:cstheme="minorHAnsi"/>
                <w:lang w:val="es-MX" w:eastAsia="es-EC"/>
              </w:rPr>
            </w:pPr>
            <w:r w:rsidRPr="00692FAD">
              <w:rPr>
                <w:rFonts w:eastAsia="Times New Roman" w:cstheme="minorHAnsi"/>
                <w:lang w:val="es-MX" w:eastAsia="es-EC"/>
              </w:rPr>
              <w:t xml:space="preserve">Temas dictados: </w:t>
            </w:r>
          </w:p>
          <w:p w:rsidR="00B405A4" w:rsidRPr="00692FAD" w:rsidRDefault="00B405A4" w:rsidP="00B405A4">
            <w:pPr>
              <w:numPr>
                <w:ilvl w:val="0"/>
                <w:numId w:val="9"/>
              </w:numPr>
              <w:spacing w:after="200" w:line="276" w:lineRule="auto"/>
              <w:contextualSpacing/>
              <w:rPr>
                <w:rFonts w:eastAsia="Times New Roman" w:cstheme="minorHAnsi"/>
                <w:lang w:val="es-MX" w:eastAsia="es-EC"/>
              </w:rPr>
            </w:pPr>
            <w:r w:rsidRPr="00692FAD">
              <w:rPr>
                <w:rFonts w:eastAsia="Times New Roman" w:cstheme="minorHAnsi"/>
                <w:lang w:val="es-MX" w:eastAsia="es-EC"/>
              </w:rPr>
              <w:t>Introducción al mercado de valores</w:t>
            </w:r>
          </w:p>
          <w:p w:rsidR="00B405A4" w:rsidRPr="00692FAD" w:rsidRDefault="00B405A4" w:rsidP="00B405A4">
            <w:pPr>
              <w:numPr>
                <w:ilvl w:val="0"/>
                <w:numId w:val="9"/>
              </w:numPr>
              <w:spacing w:after="200" w:line="276" w:lineRule="auto"/>
              <w:contextualSpacing/>
              <w:rPr>
                <w:rFonts w:eastAsia="Times New Roman" w:cstheme="minorHAnsi"/>
                <w:lang w:val="es-MX" w:eastAsia="es-EC"/>
              </w:rPr>
            </w:pPr>
            <w:r w:rsidRPr="00692FAD">
              <w:rPr>
                <w:rFonts w:eastAsia="Times New Roman" w:cstheme="minorHAnsi"/>
                <w:lang w:val="es-MX" w:eastAsia="es-EC"/>
              </w:rPr>
              <w:t>Alternativas de Financiamiento e Inversión que ofrece el Mercado de Valores.</w:t>
            </w:r>
          </w:p>
          <w:p w:rsidR="00B405A4" w:rsidRPr="00692FAD" w:rsidRDefault="00B405A4" w:rsidP="00B405A4">
            <w:pPr>
              <w:numPr>
                <w:ilvl w:val="0"/>
                <w:numId w:val="9"/>
              </w:numPr>
              <w:spacing w:after="200" w:line="276" w:lineRule="auto"/>
              <w:contextualSpacing/>
              <w:rPr>
                <w:rFonts w:eastAsia="Times New Roman" w:cstheme="minorHAnsi"/>
                <w:lang w:val="es-MX" w:eastAsia="es-EC"/>
              </w:rPr>
            </w:pPr>
            <w:r w:rsidRPr="00692FAD">
              <w:rPr>
                <w:rFonts w:eastAsia="Times New Roman" w:cstheme="minorHAnsi"/>
                <w:lang w:val="es-MX" w:eastAsia="es-EC"/>
              </w:rPr>
              <w:t>Administradoras de Fondos y Fondos de Inversión.</w:t>
            </w:r>
          </w:p>
          <w:p w:rsidR="00B405A4" w:rsidRPr="00692FAD" w:rsidRDefault="00B405A4" w:rsidP="00B405A4">
            <w:pPr>
              <w:numPr>
                <w:ilvl w:val="0"/>
                <w:numId w:val="9"/>
              </w:numPr>
              <w:spacing w:after="200" w:line="276" w:lineRule="auto"/>
              <w:contextualSpacing/>
              <w:rPr>
                <w:rFonts w:eastAsia="Times New Roman" w:cstheme="minorHAnsi"/>
                <w:lang w:val="es-MX" w:eastAsia="es-EC"/>
              </w:rPr>
            </w:pPr>
            <w:r w:rsidRPr="00692FAD">
              <w:rPr>
                <w:rFonts w:eastAsia="Times New Roman" w:cstheme="minorHAnsi"/>
                <w:lang w:val="es-MX" w:eastAsia="es-EC"/>
              </w:rPr>
              <w:t>Negocios Fiduciarios.</w:t>
            </w:r>
          </w:p>
        </w:tc>
      </w:tr>
      <w:tr w:rsidR="00B405A4" w:rsidRPr="00692FAD" w:rsidTr="00FD6BA4">
        <w:trPr>
          <w:trHeight w:val="329"/>
        </w:trPr>
        <w:tc>
          <w:tcPr>
            <w:tcW w:w="1077" w:type="dxa"/>
          </w:tcPr>
          <w:p w:rsidR="00B405A4" w:rsidRPr="00692FAD" w:rsidRDefault="00B405A4" w:rsidP="00FD6BA4">
            <w:pPr>
              <w:spacing w:after="200" w:line="276" w:lineRule="auto"/>
              <w:rPr>
                <w:rFonts w:eastAsiaTheme="minorEastAsia" w:cstheme="minorHAnsi"/>
                <w:lang w:val="es-MX" w:eastAsia="es-EC"/>
              </w:rPr>
            </w:pPr>
            <w:r w:rsidRPr="00692FAD">
              <w:rPr>
                <w:rFonts w:eastAsiaTheme="minorEastAsia" w:cstheme="minorHAnsi"/>
                <w:lang w:val="es-MX" w:eastAsia="es-EC"/>
              </w:rPr>
              <w:t>4.</w:t>
            </w:r>
          </w:p>
        </w:tc>
        <w:tc>
          <w:tcPr>
            <w:tcW w:w="2993" w:type="dxa"/>
          </w:tcPr>
          <w:p w:rsidR="00B405A4" w:rsidRPr="00692FAD" w:rsidRDefault="00B405A4" w:rsidP="00FD6BA4">
            <w:pPr>
              <w:spacing w:after="200" w:line="276" w:lineRule="auto"/>
              <w:rPr>
                <w:rFonts w:eastAsiaTheme="minorEastAsia" w:cstheme="minorHAnsi"/>
                <w:lang w:val="es-MX" w:eastAsia="es-EC"/>
              </w:rPr>
            </w:pPr>
            <w:r w:rsidRPr="00692FAD">
              <w:rPr>
                <w:rFonts w:eastAsiaTheme="minorEastAsia" w:cstheme="minorHAnsi"/>
                <w:lang w:val="es-MX" w:eastAsia="es-EC"/>
              </w:rPr>
              <w:t>Trámites ciudadanos gestionados</w:t>
            </w:r>
          </w:p>
        </w:tc>
        <w:tc>
          <w:tcPr>
            <w:tcW w:w="4424" w:type="dxa"/>
          </w:tcPr>
          <w:p w:rsidR="00B405A4" w:rsidRPr="00692FAD" w:rsidRDefault="00B405A4" w:rsidP="00FD6BA4">
            <w:pPr>
              <w:spacing w:after="200" w:line="276" w:lineRule="auto"/>
              <w:rPr>
                <w:rFonts w:eastAsia="Times New Roman" w:cstheme="minorHAnsi"/>
                <w:lang w:val="es-MX" w:eastAsia="es-EC"/>
              </w:rPr>
            </w:pPr>
            <w:r w:rsidRPr="00692FAD">
              <w:rPr>
                <w:rFonts w:eastAsia="Times New Roman" w:cstheme="minorHAnsi"/>
                <w:lang w:val="es-MX" w:eastAsia="es-EC"/>
              </w:rPr>
              <w:t>14</w:t>
            </w:r>
          </w:p>
        </w:tc>
      </w:tr>
    </w:tbl>
    <w:p w:rsidR="003A4522" w:rsidRPr="00692FAD" w:rsidRDefault="003A4522" w:rsidP="003A4522">
      <w:pPr>
        <w:spacing w:after="0" w:line="360" w:lineRule="auto"/>
        <w:jc w:val="both"/>
        <w:rPr>
          <w:rFonts w:eastAsiaTheme="minorEastAsia" w:cstheme="minorHAnsi"/>
          <w:lang w:eastAsia="es-EC"/>
        </w:rPr>
      </w:pPr>
      <w:bookmarkStart w:id="13" w:name="_Toc94577854"/>
    </w:p>
    <w:p w:rsidR="003A4522" w:rsidRPr="00692FAD" w:rsidRDefault="003A4522" w:rsidP="003A4522">
      <w:pPr>
        <w:spacing w:after="0" w:line="360" w:lineRule="auto"/>
        <w:jc w:val="both"/>
        <w:rPr>
          <w:rFonts w:cstheme="minorHAnsi"/>
          <w:lang w:val="es-MX"/>
        </w:rPr>
      </w:pPr>
      <w:r w:rsidRPr="00692FAD">
        <w:rPr>
          <w:rStyle w:val="Ttulo4Car"/>
          <w:sz w:val="22"/>
          <w:szCs w:val="22"/>
          <w:highlight w:val="yellow"/>
        </w:rPr>
        <w:lastRenderedPageBreak/>
        <w:t>Fiscalización, Consultas y Desarrollo Normativo</w:t>
      </w:r>
      <w:bookmarkEnd w:id="13"/>
      <w:r w:rsidRPr="00692FAD">
        <w:rPr>
          <w:rFonts w:cstheme="minorHAnsi"/>
          <w:b/>
          <w:highlight w:val="yellow"/>
          <w:u w:val="single"/>
          <w:lang w:val="es-MX"/>
        </w:rPr>
        <w:t xml:space="preserve">. </w:t>
      </w:r>
      <w:r w:rsidRPr="009417EA">
        <w:rPr>
          <w:rFonts w:cstheme="minorHAnsi"/>
          <w:b/>
          <w:u w:val="single"/>
          <w:lang w:val="es-MX"/>
        </w:rPr>
        <w:t>-</w:t>
      </w:r>
      <w:r w:rsidRPr="009417EA">
        <w:rPr>
          <w:rFonts w:cstheme="minorHAnsi"/>
          <w:b/>
          <w:lang w:val="es-MX"/>
        </w:rPr>
        <w:t xml:space="preserve"> </w:t>
      </w:r>
      <w:r w:rsidRPr="009417EA">
        <w:rPr>
          <w:rFonts w:cstheme="minorHAnsi"/>
          <w:lang w:val="es-MX"/>
        </w:rPr>
        <w:t>Describa brevemente la gestión</w:t>
      </w:r>
      <w:r w:rsidRPr="00692FAD">
        <w:rPr>
          <w:rFonts w:cstheme="minorHAnsi"/>
          <w:lang w:val="es-MX"/>
        </w:rPr>
        <w:t xml:space="preserve"> realizada:</w:t>
      </w:r>
    </w:p>
    <w:p w:rsidR="002669D1" w:rsidRPr="00692FAD" w:rsidRDefault="002669D1" w:rsidP="002669D1">
      <w:pPr>
        <w:spacing w:after="0" w:line="360" w:lineRule="auto"/>
        <w:jc w:val="both"/>
        <w:rPr>
          <w:rFonts w:cstheme="minorHAnsi"/>
          <w:b/>
          <w:lang w:val="es-MX"/>
        </w:rPr>
      </w:pPr>
      <w:r w:rsidRPr="00692FAD">
        <w:rPr>
          <w:rFonts w:cstheme="minorHAnsi"/>
          <w:b/>
          <w:noProof/>
          <w:u w:val="single"/>
          <w:lang w:val="es-ES" w:eastAsia="es-ES"/>
        </w:rPr>
        <mc:AlternateContent>
          <mc:Choice Requires="wps">
            <w:drawing>
              <wp:anchor distT="0" distB="0" distL="114300" distR="114300" simplePos="0" relativeHeight="251668480" behindDoc="0" locked="0" layoutInCell="1" allowOverlap="1" wp14:anchorId="68293CBC" wp14:editId="110BDF07">
                <wp:simplePos x="0" y="0"/>
                <wp:positionH relativeFrom="column">
                  <wp:posOffset>72390</wp:posOffset>
                </wp:positionH>
                <wp:positionV relativeFrom="paragraph">
                  <wp:posOffset>111125</wp:posOffset>
                </wp:positionV>
                <wp:extent cx="5734050" cy="2657475"/>
                <wp:effectExtent l="0" t="0" r="19050" b="28575"/>
                <wp:wrapNone/>
                <wp:docPr id="186" name="125 Cuadro de texto"/>
                <wp:cNvGraphicFramePr/>
                <a:graphic xmlns:a="http://schemas.openxmlformats.org/drawingml/2006/main">
                  <a:graphicData uri="http://schemas.microsoft.com/office/word/2010/wordprocessingShape">
                    <wps:wsp>
                      <wps:cNvSpPr txBox="1"/>
                      <wps:spPr>
                        <a:xfrm>
                          <a:off x="0" y="0"/>
                          <a:ext cx="5734050" cy="2657475"/>
                        </a:xfrm>
                        <a:prstGeom prst="rect">
                          <a:avLst/>
                        </a:prstGeom>
                        <a:solidFill>
                          <a:sysClr val="window" lastClr="FFFFFF"/>
                        </a:solidFill>
                        <a:ln w="6350">
                          <a:solidFill>
                            <a:prstClr val="black"/>
                          </a:solidFill>
                        </a:ln>
                        <a:effectLst/>
                      </wps:spPr>
                      <wps:txbx>
                        <w:txbxContent>
                          <w:p w:rsidR="002669D1" w:rsidRPr="008F627E" w:rsidRDefault="002669D1" w:rsidP="002669D1">
                            <w:pPr>
                              <w:spacing w:after="0" w:line="360" w:lineRule="auto"/>
                              <w:rPr>
                                <w:sz w:val="24"/>
                                <w:szCs w:val="24"/>
                              </w:rPr>
                            </w:pPr>
                            <w:r w:rsidRPr="008F627E">
                              <w:rPr>
                                <w:sz w:val="24"/>
                                <w:szCs w:val="24"/>
                              </w:rPr>
                              <w:t>Se prepararon proyectos de reforma a la normativa complementaria para consideración del órgano regulador del mercado, hoy Junta de Política de Regulación Financiera, así como normas de control.</w:t>
                            </w:r>
                          </w:p>
                          <w:p w:rsidR="002669D1" w:rsidRPr="008F627E" w:rsidRDefault="002669D1" w:rsidP="002669D1">
                            <w:pPr>
                              <w:spacing w:after="0" w:line="360" w:lineRule="auto"/>
                              <w:rPr>
                                <w:sz w:val="24"/>
                                <w:szCs w:val="24"/>
                              </w:rPr>
                            </w:pPr>
                            <w:r w:rsidRPr="008F627E">
                              <w:rPr>
                                <w:sz w:val="24"/>
                                <w:szCs w:val="24"/>
                              </w:rPr>
                              <w:t>Se sustanciaron procedimientos administrativos sancionadores iniciados de oficio o por denuncia dentro del marco del debido proceso.</w:t>
                            </w:r>
                          </w:p>
                          <w:p w:rsidR="002669D1" w:rsidRPr="008F627E" w:rsidRDefault="002669D1" w:rsidP="002669D1">
                            <w:pPr>
                              <w:spacing w:after="0" w:line="360" w:lineRule="auto"/>
                              <w:rPr>
                                <w:sz w:val="24"/>
                                <w:szCs w:val="24"/>
                              </w:rPr>
                            </w:pPr>
                            <w:r>
                              <w:rPr>
                                <w:sz w:val="24"/>
                                <w:szCs w:val="24"/>
                              </w:rPr>
                              <w:t>Se realizó</w:t>
                            </w:r>
                            <w:r w:rsidRPr="008F627E">
                              <w:rPr>
                                <w:sz w:val="24"/>
                                <w:szCs w:val="24"/>
                              </w:rPr>
                              <w:t xml:space="preserve"> análisis para emitir un criterio institucional y absolver consultas en e</w:t>
                            </w:r>
                            <w:r>
                              <w:rPr>
                                <w:sz w:val="24"/>
                                <w:szCs w:val="24"/>
                              </w:rPr>
                              <w:t>l ámbito del mercado de valores, así como trámites relacionados con intervención, suspensión o cancelación de inscripción del Catastro Público del Mercado de Valores.</w:t>
                            </w:r>
                          </w:p>
                          <w:p w:rsidR="002669D1" w:rsidRPr="008F627E" w:rsidRDefault="002669D1" w:rsidP="002669D1">
                            <w:pPr>
                              <w:spacing w:after="0" w:line="360" w:lineRule="auto"/>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5 Cuadro de texto" o:spid="_x0000_s1032" type="#_x0000_t202" style="position:absolute;left:0;text-align:left;margin-left:5.7pt;margin-top:8.75pt;width:451.5pt;height:20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" fillcolor="window" strokeweight=".5pt">
                <v:textbox>
                  <w:txbxContent>
                    <w:p w:rsidR="002669D1" w:rsidRPr="008F627E" w:rsidRDefault="002669D1" w:rsidP="002669D1">
                      <w:pPr>
                        <w:spacing w:after="0" w:line="360" w:lineRule="auto"/>
                        <w:rPr>
                          <w:sz w:val="24"/>
                          <w:szCs w:val="24"/>
                        </w:rPr>
                      </w:pPr>
                      <w:r w:rsidRPr="008F627E">
                        <w:rPr>
                          <w:sz w:val="24"/>
                          <w:szCs w:val="24"/>
                        </w:rPr>
                        <w:t>Se prepararon proyectos de reforma a la normativa complementaria para consideración del órgano regulador del mercado, hoy Junta de Política de Regulación Financiera, así como normas de control.</w:t>
                      </w:r>
                    </w:p>
                    <w:p w:rsidR="002669D1" w:rsidRPr="008F627E" w:rsidRDefault="002669D1" w:rsidP="002669D1">
                      <w:pPr>
                        <w:spacing w:after="0" w:line="360" w:lineRule="auto"/>
                        <w:rPr>
                          <w:sz w:val="24"/>
                          <w:szCs w:val="24"/>
                        </w:rPr>
                      </w:pPr>
                      <w:r w:rsidRPr="008F627E">
                        <w:rPr>
                          <w:sz w:val="24"/>
                          <w:szCs w:val="24"/>
                        </w:rPr>
                        <w:t>Se sustanciaron procedimientos administrativos sancionadores iniciados de oficio o por denuncia dentro del marco del debido proceso.</w:t>
                      </w:r>
                    </w:p>
                    <w:p w:rsidR="002669D1" w:rsidRPr="008F627E" w:rsidRDefault="002669D1" w:rsidP="002669D1">
                      <w:pPr>
                        <w:spacing w:after="0" w:line="360" w:lineRule="auto"/>
                        <w:rPr>
                          <w:sz w:val="24"/>
                          <w:szCs w:val="24"/>
                        </w:rPr>
                      </w:pPr>
                      <w:r>
                        <w:rPr>
                          <w:sz w:val="24"/>
                          <w:szCs w:val="24"/>
                        </w:rPr>
                        <w:t>Se realizó</w:t>
                      </w:r>
                      <w:r w:rsidRPr="008F627E">
                        <w:rPr>
                          <w:sz w:val="24"/>
                          <w:szCs w:val="24"/>
                        </w:rPr>
                        <w:t xml:space="preserve"> análisis para emitir un criterio institucional y absolver consultas en e</w:t>
                      </w:r>
                      <w:r>
                        <w:rPr>
                          <w:sz w:val="24"/>
                          <w:szCs w:val="24"/>
                        </w:rPr>
                        <w:t>l ámbito del mercado de valores, así como trámites relacionados con intervención, suspensión o cancelación de inscripción del Catastro Público del Mercado de Valores.</w:t>
                      </w:r>
                    </w:p>
                    <w:p w:rsidR="002669D1" w:rsidRPr="008F627E" w:rsidRDefault="002669D1" w:rsidP="002669D1">
                      <w:pPr>
                        <w:spacing w:after="0" w:line="360" w:lineRule="auto"/>
                        <w:rPr>
                          <w:sz w:val="24"/>
                          <w:szCs w:val="24"/>
                        </w:rPr>
                      </w:pPr>
                    </w:p>
                  </w:txbxContent>
                </v:textbox>
              </v:shape>
            </w:pict>
          </mc:Fallback>
        </mc:AlternateContent>
      </w:r>
    </w:p>
    <w:p w:rsidR="002669D1" w:rsidRPr="00692FAD" w:rsidRDefault="002669D1" w:rsidP="002669D1">
      <w:pPr>
        <w:spacing w:after="0" w:line="360" w:lineRule="auto"/>
        <w:jc w:val="both"/>
        <w:rPr>
          <w:rFonts w:cstheme="minorHAnsi"/>
          <w:lang w:val="es-MX"/>
        </w:rPr>
      </w:pPr>
    </w:p>
    <w:p w:rsidR="002669D1" w:rsidRPr="00692FAD" w:rsidRDefault="002669D1" w:rsidP="002669D1">
      <w:pPr>
        <w:spacing w:after="0" w:line="360" w:lineRule="auto"/>
        <w:jc w:val="both"/>
        <w:rPr>
          <w:rFonts w:cstheme="minorHAnsi"/>
          <w:lang w:val="es-MX"/>
        </w:rPr>
      </w:pPr>
    </w:p>
    <w:p w:rsidR="002669D1" w:rsidRPr="00692FAD" w:rsidRDefault="002669D1" w:rsidP="002669D1">
      <w:pPr>
        <w:spacing w:after="0" w:line="360" w:lineRule="auto"/>
        <w:jc w:val="both"/>
        <w:rPr>
          <w:rFonts w:cstheme="minorHAnsi"/>
          <w:lang w:val="es-MX"/>
        </w:rPr>
      </w:pPr>
    </w:p>
    <w:p w:rsidR="002669D1" w:rsidRPr="00692FAD" w:rsidRDefault="002669D1" w:rsidP="002669D1">
      <w:pPr>
        <w:spacing w:after="0" w:line="360" w:lineRule="auto"/>
        <w:jc w:val="both"/>
        <w:rPr>
          <w:rFonts w:cstheme="minorHAnsi"/>
          <w:lang w:val="es-MX"/>
        </w:rPr>
      </w:pPr>
    </w:p>
    <w:p w:rsidR="002669D1" w:rsidRPr="00692FAD" w:rsidRDefault="002669D1" w:rsidP="002669D1">
      <w:pPr>
        <w:spacing w:after="0" w:line="360" w:lineRule="auto"/>
        <w:jc w:val="both"/>
        <w:rPr>
          <w:rFonts w:cstheme="minorHAnsi"/>
          <w:b/>
          <w:i/>
          <w:lang w:val="es-MX"/>
        </w:rPr>
      </w:pPr>
    </w:p>
    <w:p w:rsidR="002669D1" w:rsidRPr="00692FAD" w:rsidRDefault="002669D1" w:rsidP="002669D1">
      <w:pPr>
        <w:spacing w:after="0" w:line="360" w:lineRule="auto"/>
        <w:jc w:val="both"/>
        <w:rPr>
          <w:rFonts w:cstheme="minorHAnsi"/>
          <w:b/>
          <w:i/>
          <w:lang w:val="es-MX"/>
        </w:rPr>
      </w:pPr>
    </w:p>
    <w:p w:rsidR="002669D1" w:rsidRPr="00692FAD" w:rsidRDefault="002669D1" w:rsidP="002669D1">
      <w:pPr>
        <w:spacing w:after="0" w:line="360" w:lineRule="auto"/>
        <w:jc w:val="both"/>
        <w:rPr>
          <w:rFonts w:cstheme="minorHAnsi"/>
          <w:b/>
          <w:i/>
          <w:lang w:val="es-MX"/>
        </w:rPr>
      </w:pPr>
    </w:p>
    <w:p w:rsidR="002669D1" w:rsidRPr="00692FAD" w:rsidRDefault="002669D1" w:rsidP="002669D1">
      <w:pPr>
        <w:spacing w:after="0" w:line="360" w:lineRule="auto"/>
        <w:jc w:val="both"/>
        <w:rPr>
          <w:rFonts w:cstheme="minorHAnsi"/>
          <w:b/>
          <w:i/>
          <w:lang w:val="es-MX"/>
        </w:rPr>
      </w:pPr>
    </w:p>
    <w:p w:rsidR="009417EA" w:rsidRDefault="009417EA" w:rsidP="002669D1">
      <w:pPr>
        <w:pStyle w:val="Epgrafe"/>
        <w:rPr>
          <w:rFonts w:cstheme="minorHAnsi"/>
          <w:sz w:val="22"/>
          <w:szCs w:val="22"/>
        </w:rPr>
      </w:pPr>
      <w:bookmarkStart w:id="14" w:name="_Toc94576292"/>
      <w:bookmarkStart w:id="15" w:name="_Toc94577885"/>
    </w:p>
    <w:p w:rsidR="009417EA" w:rsidRDefault="009417EA" w:rsidP="002669D1">
      <w:pPr>
        <w:pStyle w:val="Epgrafe"/>
        <w:rPr>
          <w:rFonts w:cstheme="minorHAnsi"/>
          <w:sz w:val="22"/>
          <w:szCs w:val="22"/>
        </w:rPr>
      </w:pPr>
    </w:p>
    <w:p w:rsidR="002669D1" w:rsidRPr="00692FAD" w:rsidRDefault="002669D1" w:rsidP="002669D1">
      <w:pPr>
        <w:pStyle w:val="Epgrafe"/>
        <w:rPr>
          <w:rFonts w:cstheme="minorHAnsi"/>
          <w:sz w:val="22"/>
          <w:szCs w:val="22"/>
        </w:rPr>
      </w:pPr>
      <w:r w:rsidRPr="00692FAD">
        <w:rPr>
          <w:rFonts w:cstheme="minorHAnsi"/>
          <w:sz w:val="22"/>
          <w:szCs w:val="22"/>
        </w:rPr>
        <w:t xml:space="preserve">Tabla </w:t>
      </w:r>
      <w:r w:rsidRPr="00692FAD">
        <w:rPr>
          <w:rFonts w:cstheme="minorHAnsi"/>
          <w:sz w:val="22"/>
          <w:szCs w:val="22"/>
        </w:rPr>
        <w:fldChar w:fldCharType="begin"/>
      </w:r>
      <w:r w:rsidRPr="00692FAD">
        <w:rPr>
          <w:rFonts w:cstheme="minorHAnsi"/>
          <w:sz w:val="22"/>
          <w:szCs w:val="22"/>
        </w:rPr>
        <w:instrText xml:space="preserve"> SEQ Tabla \* ARABIC </w:instrText>
      </w:r>
      <w:r w:rsidRPr="00692FAD">
        <w:rPr>
          <w:rFonts w:cstheme="minorHAnsi"/>
          <w:sz w:val="22"/>
          <w:szCs w:val="22"/>
        </w:rPr>
        <w:fldChar w:fldCharType="separate"/>
      </w:r>
      <w:r w:rsidRPr="00692FAD">
        <w:rPr>
          <w:rFonts w:cstheme="minorHAnsi"/>
          <w:noProof/>
          <w:sz w:val="22"/>
          <w:szCs w:val="22"/>
        </w:rPr>
        <w:t>12</w:t>
      </w:r>
      <w:r w:rsidRPr="00692FAD">
        <w:rPr>
          <w:rFonts w:cstheme="minorHAnsi"/>
          <w:sz w:val="22"/>
          <w:szCs w:val="22"/>
        </w:rPr>
        <w:fldChar w:fldCharType="end"/>
      </w:r>
      <w:r w:rsidRPr="00692FAD">
        <w:rPr>
          <w:rFonts w:cstheme="minorHAnsi"/>
          <w:sz w:val="22"/>
          <w:szCs w:val="22"/>
        </w:rPr>
        <w:t>.-</w:t>
      </w:r>
      <w:r w:rsidRPr="00692FAD">
        <w:rPr>
          <w:rFonts w:cstheme="minorHAnsi"/>
          <w:i/>
          <w:sz w:val="22"/>
          <w:szCs w:val="22"/>
        </w:rPr>
        <w:t xml:space="preserve"> </w:t>
      </w:r>
      <w:r w:rsidRPr="00692FAD">
        <w:rPr>
          <w:rFonts w:cstheme="minorHAnsi"/>
          <w:b w:val="0"/>
          <w:sz w:val="22"/>
          <w:szCs w:val="22"/>
        </w:rPr>
        <w:t>Registrar el número de las actividades desarrolladas:</w:t>
      </w:r>
      <w:bookmarkEnd w:id="14"/>
      <w:bookmarkEnd w:id="15"/>
    </w:p>
    <w:tbl>
      <w:tblPr>
        <w:tblStyle w:val="Tablaconcuadrcula"/>
        <w:tblW w:w="0" w:type="auto"/>
        <w:jc w:val="center"/>
        <w:tblLook w:val="04A0" w:firstRow="1" w:lastRow="0" w:firstColumn="1" w:lastColumn="0" w:noHBand="0" w:noVBand="1"/>
      </w:tblPr>
      <w:tblGrid>
        <w:gridCol w:w="5525"/>
        <w:gridCol w:w="1656"/>
      </w:tblGrid>
      <w:tr w:rsidR="002669D1" w:rsidRPr="00692FAD" w:rsidTr="00FD6BA4">
        <w:trPr>
          <w:trHeight w:val="539"/>
          <w:jc w:val="center"/>
        </w:trPr>
        <w:tc>
          <w:tcPr>
            <w:tcW w:w="5525" w:type="dxa"/>
          </w:tcPr>
          <w:p w:rsidR="002669D1" w:rsidRPr="00692FAD" w:rsidRDefault="002669D1" w:rsidP="00FD6BA4">
            <w:pPr>
              <w:jc w:val="center"/>
              <w:rPr>
                <w:rFonts w:cstheme="minorHAnsi"/>
                <w:b/>
                <w:lang w:val="es-MX"/>
              </w:rPr>
            </w:pPr>
          </w:p>
          <w:p w:rsidR="002669D1" w:rsidRPr="00692FAD" w:rsidRDefault="002669D1" w:rsidP="00FD6BA4">
            <w:pPr>
              <w:jc w:val="center"/>
              <w:rPr>
                <w:rFonts w:cstheme="minorHAnsi"/>
                <w:b/>
                <w:lang w:val="es-MX"/>
              </w:rPr>
            </w:pPr>
            <w:r w:rsidRPr="00692FAD">
              <w:rPr>
                <w:rFonts w:cstheme="minorHAnsi"/>
                <w:b/>
                <w:lang w:val="es-MX"/>
              </w:rPr>
              <w:t>DESCRIPCIÓN</w:t>
            </w:r>
          </w:p>
          <w:p w:rsidR="002669D1" w:rsidRPr="00692FAD" w:rsidRDefault="002669D1" w:rsidP="00FD6BA4">
            <w:pPr>
              <w:jc w:val="center"/>
              <w:rPr>
                <w:rFonts w:cstheme="minorHAnsi"/>
                <w:b/>
                <w:lang w:val="es-MX"/>
              </w:rPr>
            </w:pPr>
          </w:p>
        </w:tc>
        <w:tc>
          <w:tcPr>
            <w:tcW w:w="1656" w:type="dxa"/>
          </w:tcPr>
          <w:p w:rsidR="002669D1" w:rsidRPr="00692FAD" w:rsidRDefault="002669D1" w:rsidP="00FD6BA4">
            <w:pPr>
              <w:jc w:val="center"/>
              <w:rPr>
                <w:rFonts w:cstheme="minorHAnsi"/>
                <w:b/>
                <w:lang w:val="es-MX"/>
              </w:rPr>
            </w:pPr>
          </w:p>
          <w:p w:rsidR="002669D1" w:rsidRPr="00692FAD" w:rsidRDefault="002669D1" w:rsidP="00FD6BA4">
            <w:pPr>
              <w:jc w:val="center"/>
              <w:rPr>
                <w:rFonts w:cstheme="minorHAnsi"/>
                <w:b/>
                <w:lang w:val="es-MX"/>
              </w:rPr>
            </w:pPr>
            <w:r w:rsidRPr="00692FAD">
              <w:rPr>
                <w:rFonts w:cstheme="minorHAnsi"/>
                <w:b/>
                <w:lang w:val="es-MX"/>
              </w:rPr>
              <w:t>NÚMERO</w:t>
            </w:r>
          </w:p>
        </w:tc>
      </w:tr>
      <w:tr w:rsidR="002669D1" w:rsidRPr="00692FAD" w:rsidTr="00FD6BA4">
        <w:trPr>
          <w:trHeight w:val="266"/>
          <w:jc w:val="center"/>
        </w:trPr>
        <w:tc>
          <w:tcPr>
            <w:tcW w:w="5525" w:type="dxa"/>
          </w:tcPr>
          <w:p w:rsidR="002669D1" w:rsidRPr="00692FAD" w:rsidRDefault="002669D1" w:rsidP="00FD6BA4">
            <w:pPr>
              <w:jc w:val="both"/>
              <w:rPr>
                <w:rFonts w:cstheme="minorHAnsi"/>
                <w:lang w:val="es-MX"/>
              </w:rPr>
            </w:pPr>
            <w:r w:rsidRPr="00692FAD">
              <w:rPr>
                <w:rFonts w:cstheme="minorHAnsi"/>
                <w:lang w:val="es-MX"/>
              </w:rPr>
              <w:t>Informes elaborados</w:t>
            </w:r>
          </w:p>
          <w:p w:rsidR="002669D1" w:rsidRPr="00692FAD" w:rsidRDefault="002669D1" w:rsidP="00FD6BA4">
            <w:pPr>
              <w:jc w:val="both"/>
              <w:rPr>
                <w:rFonts w:cstheme="minorHAnsi"/>
                <w:lang w:val="es-MX"/>
              </w:rPr>
            </w:pPr>
          </w:p>
        </w:tc>
        <w:tc>
          <w:tcPr>
            <w:tcW w:w="1656" w:type="dxa"/>
          </w:tcPr>
          <w:p w:rsidR="002669D1" w:rsidRPr="00692FAD" w:rsidRDefault="002669D1" w:rsidP="009417EA">
            <w:pPr>
              <w:jc w:val="center"/>
              <w:rPr>
                <w:rFonts w:cstheme="minorHAnsi"/>
                <w:lang w:val="es-MX"/>
              </w:rPr>
            </w:pPr>
            <w:r w:rsidRPr="00692FAD">
              <w:rPr>
                <w:rFonts w:cstheme="minorHAnsi"/>
                <w:lang w:val="es-MX"/>
              </w:rPr>
              <w:t>104</w:t>
            </w:r>
          </w:p>
        </w:tc>
      </w:tr>
      <w:tr w:rsidR="002669D1" w:rsidRPr="00692FAD" w:rsidTr="00FD6BA4">
        <w:trPr>
          <w:trHeight w:val="266"/>
          <w:jc w:val="center"/>
        </w:trPr>
        <w:tc>
          <w:tcPr>
            <w:tcW w:w="5525" w:type="dxa"/>
          </w:tcPr>
          <w:p w:rsidR="002669D1" w:rsidRPr="00692FAD" w:rsidRDefault="002669D1" w:rsidP="00FD6BA4">
            <w:pPr>
              <w:jc w:val="both"/>
              <w:rPr>
                <w:rFonts w:cstheme="minorHAnsi"/>
                <w:lang w:val="es-MX"/>
              </w:rPr>
            </w:pPr>
            <w:r w:rsidRPr="00692FAD">
              <w:rPr>
                <w:rFonts w:cstheme="minorHAnsi"/>
                <w:lang w:val="es-MX"/>
              </w:rPr>
              <w:t>Sanciones administrativas y civiles emitidas a los Entes controlados</w:t>
            </w:r>
          </w:p>
          <w:p w:rsidR="002669D1" w:rsidRPr="00692FAD" w:rsidRDefault="002669D1" w:rsidP="00FD6BA4">
            <w:pPr>
              <w:jc w:val="both"/>
              <w:rPr>
                <w:rFonts w:cstheme="minorHAnsi"/>
                <w:lang w:val="es-MX"/>
              </w:rPr>
            </w:pPr>
          </w:p>
        </w:tc>
        <w:tc>
          <w:tcPr>
            <w:tcW w:w="1656" w:type="dxa"/>
          </w:tcPr>
          <w:p w:rsidR="002669D1" w:rsidRPr="00692FAD" w:rsidRDefault="002669D1" w:rsidP="009417EA">
            <w:pPr>
              <w:jc w:val="center"/>
              <w:rPr>
                <w:rFonts w:cstheme="minorHAnsi"/>
                <w:lang w:val="es-MX"/>
              </w:rPr>
            </w:pPr>
            <w:r w:rsidRPr="00692FAD">
              <w:rPr>
                <w:rFonts w:cstheme="minorHAnsi"/>
                <w:lang w:val="es-MX"/>
              </w:rPr>
              <w:t>8</w:t>
            </w:r>
          </w:p>
        </w:tc>
      </w:tr>
      <w:tr w:rsidR="002669D1" w:rsidRPr="00692FAD" w:rsidTr="00FD6BA4">
        <w:trPr>
          <w:trHeight w:val="358"/>
          <w:jc w:val="center"/>
        </w:trPr>
        <w:tc>
          <w:tcPr>
            <w:tcW w:w="5525" w:type="dxa"/>
          </w:tcPr>
          <w:p w:rsidR="002669D1" w:rsidRPr="00692FAD" w:rsidRDefault="002669D1" w:rsidP="00FD6BA4">
            <w:pPr>
              <w:jc w:val="both"/>
              <w:rPr>
                <w:rFonts w:cstheme="minorHAnsi"/>
                <w:lang w:val="es-MX"/>
              </w:rPr>
            </w:pPr>
            <w:r w:rsidRPr="00692FAD">
              <w:rPr>
                <w:rFonts w:cstheme="minorHAnsi"/>
                <w:lang w:val="es-MX"/>
              </w:rPr>
              <w:t>Acciones de control ejecutadas</w:t>
            </w:r>
          </w:p>
          <w:p w:rsidR="002669D1" w:rsidRPr="00692FAD" w:rsidRDefault="002669D1" w:rsidP="00FD6BA4">
            <w:pPr>
              <w:jc w:val="both"/>
              <w:rPr>
                <w:rFonts w:cstheme="minorHAnsi"/>
                <w:lang w:val="es-MX"/>
              </w:rPr>
            </w:pPr>
          </w:p>
        </w:tc>
        <w:tc>
          <w:tcPr>
            <w:tcW w:w="1656" w:type="dxa"/>
          </w:tcPr>
          <w:p w:rsidR="002669D1" w:rsidRPr="00692FAD" w:rsidRDefault="002669D1" w:rsidP="009417EA">
            <w:pPr>
              <w:jc w:val="center"/>
              <w:rPr>
                <w:rFonts w:cstheme="minorHAnsi"/>
                <w:lang w:val="es-MX"/>
              </w:rPr>
            </w:pPr>
            <w:r w:rsidRPr="00692FAD">
              <w:rPr>
                <w:rFonts w:cstheme="minorHAnsi"/>
                <w:lang w:val="es-MX"/>
              </w:rPr>
              <w:t>24</w:t>
            </w:r>
          </w:p>
        </w:tc>
      </w:tr>
      <w:tr w:rsidR="002669D1" w:rsidRPr="00692FAD" w:rsidTr="00FD6BA4">
        <w:trPr>
          <w:trHeight w:val="266"/>
          <w:jc w:val="center"/>
        </w:trPr>
        <w:tc>
          <w:tcPr>
            <w:tcW w:w="5525" w:type="dxa"/>
          </w:tcPr>
          <w:p w:rsidR="002669D1" w:rsidRPr="00692FAD" w:rsidRDefault="002669D1" w:rsidP="00FD6BA4">
            <w:pPr>
              <w:jc w:val="both"/>
              <w:rPr>
                <w:rFonts w:cstheme="minorHAnsi"/>
                <w:lang w:val="es-MX"/>
              </w:rPr>
            </w:pPr>
            <w:r w:rsidRPr="00692FAD">
              <w:rPr>
                <w:rFonts w:cstheme="minorHAnsi"/>
                <w:lang w:val="es-MX"/>
              </w:rPr>
              <w:t>Procesos administrativos sancionadores</w:t>
            </w:r>
          </w:p>
          <w:p w:rsidR="002669D1" w:rsidRPr="00692FAD" w:rsidRDefault="002669D1" w:rsidP="00FD6BA4">
            <w:pPr>
              <w:jc w:val="both"/>
              <w:rPr>
                <w:rFonts w:cstheme="minorHAnsi"/>
                <w:lang w:val="es-MX"/>
              </w:rPr>
            </w:pPr>
          </w:p>
        </w:tc>
        <w:tc>
          <w:tcPr>
            <w:tcW w:w="1656" w:type="dxa"/>
          </w:tcPr>
          <w:p w:rsidR="002669D1" w:rsidRPr="00692FAD" w:rsidRDefault="002669D1" w:rsidP="009417EA">
            <w:pPr>
              <w:jc w:val="center"/>
              <w:rPr>
                <w:rFonts w:cstheme="minorHAnsi"/>
                <w:lang w:val="es-MX"/>
              </w:rPr>
            </w:pPr>
            <w:r w:rsidRPr="00692FAD">
              <w:rPr>
                <w:rFonts w:cstheme="minorHAnsi"/>
                <w:lang w:val="es-MX"/>
              </w:rPr>
              <w:t>8</w:t>
            </w:r>
          </w:p>
        </w:tc>
      </w:tr>
      <w:tr w:rsidR="002669D1" w:rsidRPr="00692FAD" w:rsidTr="00FD6BA4">
        <w:trPr>
          <w:trHeight w:val="366"/>
          <w:jc w:val="center"/>
        </w:trPr>
        <w:tc>
          <w:tcPr>
            <w:tcW w:w="5525" w:type="dxa"/>
          </w:tcPr>
          <w:p w:rsidR="002669D1" w:rsidRPr="00692FAD" w:rsidRDefault="002669D1" w:rsidP="00FD6BA4">
            <w:pPr>
              <w:jc w:val="both"/>
              <w:rPr>
                <w:rFonts w:cstheme="minorHAnsi"/>
                <w:lang w:val="es-MX"/>
              </w:rPr>
            </w:pPr>
            <w:r w:rsidRPr="00692FAD">
              <w:rPr>
                <w:rFonts w:cstheme="minorHAnsi"/>
                <w:lang w:val="es-MX"/>
              </w:rPr>
              <w:t xml:space="preserve">Trámites ciudadanos gestionados </w:t>
            </w:r>
          </w:p>
          <w:p w:rsidR="002669D1" w:rsidRPr="00692FAD" w:rsidRDefault="002669D1" w:rsidP="00FD6BA4">
            <w:pPr>
              <w:jc w:val="both"/>
              <w:rPr>
                <w:rFonts w:cstheme="minorHAnsi"/>
                <w:lang w:val="es-MX"/>
              </w:rPr>
            </w:pPr>
          </w:p>
        </w:tc>
        <w:tc>
          <w:tcPr>
            <w:tcW w:w="1656" w:type="dxa"/>
          </w:tcPr>
          <w:p w:rsidR="002669D1" w:rsidRPr="00692FAD" w:rsidRDefault="002669D1" w:rsidP="009417EA">
            <w:pPr>
              <w:jc w:val="center"/>
              <w:rPr>
                <w:rFonts w:cstheme="minorHAnsi"/>
                <w:lang w:val="es-MX"/>
              </w:rPr>
            </w:pPr>
            <w:r w:rsidRPr="00692FAD">
              <w:rPr>
                <w:rFonts w:cstheme="minorHAnsi"/>
                <w:lang w:val="es-MX"/>
              </w:rPr>
              <w:t>38</w:t>
            </w:r>
          </w:p>
        </w:tc>
      </w:tr>
      <w:tr w:rsidR="002669D1" w:rsidRPr="00692FAD" w:rsidTr="00FD6BA4">
        <w:trPr>
          <w:trHeight w:val="266"/>
          <w:jc w:val="center"/>
        </w:trPr>
        <w:tc>
          <w:tcPr>
            <w:tcW w:w="5525" w:type="dxa"/>
          </w:tcPr>
          <w:p w:rsidR="002669D1" w:rsidRPr="00692FAD" w:rsidRDefault="002669D1" w:rsidP="00FD6BA4">
            <w:pPr>
              <w:jc w:val="both"/>
              <w:rPr>
                <w:rFonts w:cstheme="minorHAnsi"/>
                <w:lang w:val="es-MX"/>
              </w:rPr>
            </w:pPr>
            <w:r w:rsidRPr="00692FAD">
              <w:rPr>
                <w:rFonts w:cstheme="minorHAnsi"/>
                <w:lang w:val="es-MX"/>
              </w:rPr>
              <w:t xml:space="preserve">Otros </w:t>
            </w:r>
          </w:p>
          <w:p w:rsidR="002669D1" w:rsidRPr="00692FAD" w:rsidRDefault="002669D1" w:rsidP="00FD6BA4">
            <w:pPr>
              <w:jc w:val="both"/>
              <w:rPr>
                <w:rFonts w:cstheme="minorHAnsi"/>
                <w:lang w:val="es-MX"/>
              </w:rPr>
            </w:pPr>
          </w:p>
        </w:tc>
        <w:tc>
          <w:tcPr>
            <w:tcW w:w="1656" w:type="dxa"/>
          </w:tcPr>
          <w:p w:rsidR="002669D1" w:rsidRPr="00692FAD" w:rsidRDefault="002669D1" w:rsidP="009417EA">
            <w:pPr>
              <w:jc w:val="center"/>
              <w:rPr>
                <w:rFonts w:cstheme="minorHAnsi"/>
                <w:lang w:val="es-MX"/>
              </w:rPr>
            </w:pPr>
            <w:r w:rsidRPr="00692FAD">
              <w:rPr>
                <w:rFonts w:cstheme="minorHAnsi"/>
                <w:lang w:val="es-MX"/>
              </w:rPr>
              <w:t>45</w:t>
            </w:r>
          </w:p>
        </w:tc>
      </w:tr>
    </w:tbl>
    <w:p w:rsidR="002669D1" w:rsidRPr="00692FAD" w:rsidRDefault="002669D1" w:rsidP="002669D1">
      <w:pPr>
        <w:spacing w:after="0" w:line="360" w:lineRule="auto"/>
        <w:jc w:val="both"/>
        <w:rPr>
          <w:rFonts w:cstheme="minorHAnsi"/>
        </w:rPr>
      </w:pPr>
    </w:p>
    <w:p w:rsidR="003A4522" w:rsidRDefault="003A4522" w:rsidP="003A4522">
      <w:pPr>
        <w:spacing w:after="0" w:line="360" w:lineRule="auto"/>
        <w:jc w:val="both"/>
        <w:rPr>
          <w:b/>
          <w:sz w:val="24"/>
          <w:lang w:val="es-MX"/>
        </w:rPr>
      </w:pPr>
    </w:p>
    <w:sectPr w:rsidR="003A452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18F"/>
      </v:shape>
    </w:pict>
  </w:numPicBullet>
  <w:abstractNum w:abstractNumId="0">
    <w:nsid w:val="0DDB4438"/>
    <w:multiLevelType w:val="hybridMultilevel"/>
    <w:tmpl w:val="1B42F40E"/>
    <w:lvl w:ilvl="0" w:tplc="5ED21AD4">
      <w:start w:val="1"/>
      <w:numFmt w:val="bullet"/>
      <w:pStyle w:val="Prrafodelista"/>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0EA335D7"/>
    <w:multiLevelType w:val="hybridMultilevel"/>
    <w:tmpl w:val="8BAE3186"/>
    <w:lvl w:ilvl="0" w:tplc="EEFCC770">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19157DFC"/>
    <w:multiLevelType w:val="hybridMultilevel"/>
    <w:tmpl w:val="B0068BD0"/>
    <w:lvl w:ilvl="0" w:tplc="38A22A64">
      <w:start w:val="4"/>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nsid w:val="2C377C60"/>
    <w:multiLevelType w:val="hybridMultilevel"/>
    <w:tmpl w:val="FE84D0B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3B6E1C73"/>
    <w:multiLevelType w:val="hybridMultilevel"/>
    <w:tmpl w:val="3F725354"/>
    <w:lvl w:ilvl="0" w:tplc="A61636FE">
      <w:numFmt w:val="bullet"/>
      <w:lvlText w:val="-"/>
      <w:lvlJc w:val="left"/>
      <w:pPr>
        <w:ind w:left="1068" w:hanging="360"/>
      </w:pPr>
      <w:rPr>
        <w:rFonts w:ascii="Calibri" w:eastAsia="Times New Roman" w:hAnsi="Calibri" w:cs="Calibri"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
    <w:nsid w:val="43403052"/>
    <w:multiLevelType w:val="hybridMultilevel"/>
    <w:tmpl w:val="FCF00C6E"/>
    <w:lvl w:ilvl="0" w:tplc="68DEAADA">
      <w:start w:val="1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45C67EF0"/>
    <w:multiLevelType w:val="hybridMultilevel"/>
    <w:tmpl w:val="71AEA3E8"/>
    <w:lvl w:ilvl="0" w:tplc="A7D64582">
      <w:start w:val="1"/>
      <w:numFmt w:val="decimal"/>
      <w:pStyle w:val="Ttulo3"/>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7">
    <w:nsid w:val="51834717"/>
    <w:multiLevelType w:val="hybridMultilevel"/>
    <w:tmpl w:val="626424A6"/>
    <w:lvl w:ilvl="0" w:tplc="D6E477CC">
      <w:start w:val="9"/>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55031642"/>
    <w:multiLevelType w:val="hybridMultilevel"/>
    <w:tmpl w:val="7E62DD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0183E2A"/>
    <w:multiLevelType w:val="hybridMultilevel"/>
    <w:tmpl w:val="C9D8EA78"/>
    <w:lvl w:ilvl="0" w:tplc="5F444B22">
      <w:start w:val="1"/>
      <w:numFmt w:val="decimal"/>
      <w:lvlText w:val="%1."/>
      <w:lvlJc w:val="left"/>
      <w:pPr>
        <w:ind w:left="1636"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0">
    <w:nsid w:val="65A07003"/>
    <w:multiLevelType w:val="hybridMultilevel"/>
    <w:tmpl w:val="C786F676"/>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nsid w:val="65AF435C"/>
    <w:multiLevelType w:val="hybridMultilevel"/>
    <w:tmpl w:val="D03C0F96"/>
    <w:lvl w:ilvl="0" w:tplc="C5641F72">
      <w:start w:val="3"/>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2">
    <w:nsid w:val="730716FF"/>
    <w:multiLevelType w:val="hybridMultilevel"/>
    <w:tmpl w:val="7E62DD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B0D03E8"/>
    <w:multiLevelType w:val="hybridMultilevel"/>
    <w:tmpl w:val="0C00ACB0"/>
    <w:lvl w:ilvl="0" w:tplc="7B1084A4">
      <w:start w:val="3"/>
      <w:numFmt w:val="decimal"/>
      <w:lvlText w:val="%1."/>
      <w:lvlJc w:val="left"/>
      <w:pPr>
        <w:ind w:left="502" w:hanging="360"/>
      </w:pPr>
      <w:rPr>
        <w:rFonts w:hint="default"/>
      </w:rPr>
    </w:lvl>
    <w:lvl w:ilvl="1" w:tplc="300A0019" w:tentative="1">
      <w:start w:val="1"/>
      <w:numFmt w:val="lowerLetter"/>
      <w:lvlText w:val="%2."/>
      <w:lvlJc w:val="left"/>
      <w:pPr>
        <w:ind w:left="1222" w:hanging="360"/>
      </w:pPr>
    </w:lvl>
    <w:lvl w:ilvl="2" w:tplc="300A001B" w:tentative="1">
      <w:start w:val="1"/>
      <w:numFmt w:val="lowerRoman"/>
      <w:lvlText w:val="%3."/>
      <w:lvlJc w:val="right"/>
      <w:pPr>
        <w:ind w:left="1942" w:hanging="180"/>
      </w:pPr>
    </w:lvl>
    <w:lvl w:ilvl="3" w:tplc="300A000F" w:tentative="1">
      <w:start w:val="1"/>
      <w:numFmt w:val="decimal"/>
      <w:lvlText w:val="%4."/>
      <w:lvlJc w:val="left"/>
      <w:pPr>
        <w:ind w:left="2662" w:hanging="360"/>
      </w:pPr>
    </w:lvl>
    <w:lvl w:ilvl="4" w:tplc="300A0019" w:tentative="1">
      <w:start w:val="1"/>
      <w:numFmt w:val="lowerLetter"/>
      <w:lvlText w:val="%5."/>
      <w:lvlJc w:val="left"/>
      <w:pPr>
        <w:ind w:left="3382" w:hanging="360"/>
      </w:pPr>
    </w:lvl>
    <w:lvl w:ilvl="5" w:tplc="300A001B" w:tentative="1">
      <w:start w:val="1"/>
      <w:numFmt w:val="lowerRoman"/>
      <w:lvlText w:val="%6."/>
      <w:lvlJc w:val="right"/>
      <w:pPr>
        <w:ind w:left="4102" w:hanging="180"/>
      </w:pPr>
    </w:lvl>
    <w:lvl w:ilvl="6" w:tplc="300A000F" w:tentative="1">
      <w:start w:val="1"/>
      <w:numFmt w:val="decimal"/>
      <w:lvlText w:val="%7."/>
      <w:lvlJc w:val="left"/>
      <w:pPr>
        <w:ind w:left="4822" w:hanging="360"/>
      </w:pPr>
    </w:lvl>
    <w:lvl w:ilvl="7" w:tplc="300A0019" w:tentative="1">
      <w:start w:val="1"/>
      <w:numFmt w:val="lowerLetter"/>
      <w:lvlText w:val="%8."/>
      <w:lvlJc w:val="left"/>
      <w:pPr>
        <w:ind w:left="5542" w:hanging="360"/>
      </w:pPr>
    </w:lvl>
    <w:lvl w:ilvl="8" w:tplc="300A001B" w:tentative="1">
      <w:start w:val="1"/>
      <w:numFmt w:val="lowerRoman"/>
      <w:lvlText w:val="%9."/>
      <w:lvlJc w:val="right"/>
      <w:pPr>
        <w:ind w:left="6262" w:hanging="180"/>
      </w:pPr>
    </w:lvl>
  </w:abstractNum>
  <w:num w:numId="1">
    <w:abstractNumId w:val="0"/>
  </w:num>
  <w:num w:numId="2">
    <w:abstractNumId w:val="6"/>
  </w:num>
  <w:num w:numId="3">
    <w:abstractNumId w:val="8"/>
  </w:num>
  <w:num w:numId="4">
    <w:abstractNumId w:val="9"/>
  </w:num>
  <w:num w:numId="5">
    <w:abstractNumId w:val="3"/>
  </w:num>
  <w:num w:numId="6">
    <w:abstractNumId w:val="13"/>
  </w:num>
  <w:num w:numId="7">
    <w:abstractNumId w:val="11"/>
  </w:num>
  <w:num w:numId="8">
    <w:abstractNumId w:val="10"/>
  </w:num>
  <w:num w:numId="9">
    <w:abstractNumId w:val="12"/>
  </w:num>
  <w:num w:numId="10">
    <w:abstractNumId w:val="1"/>
  </w:num>
  <w:num w:numId="11">
    <w:abstractNumId w:val="4"/>
  </w:num>
  <w:num w:numId="12">
    <w:abstractNumId w:val="5"/>
  </w:num>
  <w:num w:numId="13">
    <w:abstractNumId w:val="2"/>
  </w:num>
  <w:num w:numId="14">
    <w:abstractNumId w:val="7"/>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522"/>
    <w:rsid w:val="00002DA1"/>
    <w:rsid w:val="00003EF3"/>
    <w:rsid w:val="00006A21"/>
    <w:rsid w:val="00007717"/>
    <w:rsid w:val="00015280"/>
    <w:rsid w:val="00022851"/>
    <w:rsid w:val="00024DBD"/>
    <w:rsid w:val="00031007"/>
    <w:rsid w:val="000357D1"/>
    <w:rsid w:val="00047DD2"/>
    <w:rsid w:val="00050AED"/>
    <w:rsid w:val="00052960"/>
    <w:rsid w:val="00055DE5"/>
    <w:rsid w:val="000562A7"/>
    <w:rsid w:val="00072851"/>
    <w:rsid w:val="00093E53"/>
    <w:rsid w:val="000D3039"/>
    <w:rsid w:val="000F22A4"/>
    <w:rsid w:val="001043F2"/>
    <w:rsid w:val="0011659B"/>
    <w:rsid w:val="001306C9"/>
    <w:rsid w:val="00135199"/>
    <w:rsid w:val="00135D2E"/>
    <w:rsid w:val="00154DA8"/>
    <w:rsid w:val="001619FE"/>
    <w:rsid w:val="0016223E"/>
    <w:rsid w:val="00177C8C"/>
    <w:rsid w:val="001B78F4"/>
    <w:rsid w:val="001B7FF8"/>
    <w:rsid w:val="001C307D"/>
    <w:rsid w:val="001C67E9"/>
    <w:rsid w:val="001C6CE9"/>
    <w:rsid w:val="001D0710"/>
    <w:rsid w:val="001D1510"/>
    <w:rsid w:val="001D4229"/>
    <w:rsid w:val="001D494B"/>
    <w:rsid w:val="001E3723"/>
    <w:rsid w:val="001E464D"/>
    <w:rsid w:val="00233883"/>
    <w:rsid w:val="00241155"/>
    <w:rsid w:val="00244E9C"/>
    <w:rsid w:val="002531C7"/>
    <w:rsid w:val="002532B2"/>
    <w:rsid w:val="0026073D"/>
    <w:rsid w:val="002644E2"/>
    <w:rsid w:val="002669D1"/>
    <w:rsid w:val="00287121"/>
    <w:rsid w:val="00290872"/>
    <w:rsid w:val="00297E56"/>
    <w:rsid w:val="002A36E2"/>
    <w:rsid w:val="002A48E0"/>
    <w:rsid w:val="002B2C40"/>
    <w:rsid w:val="002C072B"/>
    <w:rsid w:val="002C23EC"/>
    <w:rsid w:val="002C5734"/>
    <w:rsid w:val="002F7E59"/>
    <w:rsid w:val="00302083"/>
    <w:rsid w:val="00312935"/>
    <w:rsid w:val="003214E7"/>
    <w:rsid w:val="0033192E"/>
    <w:rsid w:val="003344B6"/>
    <w:rsid w:val="00341AF9"/>
    <w:rsid w:val="003532E2"/>
    <w:rsid w:val="00354B30"/>
    <w:rsid w:val="00393100"/>
    <w:rsid w:val="00393DA6"/>
    <w:rsid w:val="003A4522"/>
    <w:rsid w:val="003D0F4C"/>
    <w:rsid w:val="003D1935"/>
    <w:rsid w:val="003D2152"/>
    <w:rsid w:val="003E6DED"/>
    <w:rsid w:val="004016F9"/>
    <w:rsid w:val="004114E8"/>
    <w:rsid w:val="00420CEC"/>
    <w:rsid w:val="00421418"/>
    <w:rsid w:val="00425F70"/>
    <w:rsid w:val="00426F77"/>
    <w:rsid w:val="0042706A"/>
    <w:rsid w:val="00436757"/>
    <w:rsid w:val="004647F2"/>
    <w:rsid w:val="0048330C"/>
    <w:rsid w:val="004A0ADB"/>
    <w:rsid w:val="004C4637"/>
    <w:rsid w:val="004D2CBD"/>
    <w:rsid w:val="004E4271"/>
    <w:rsid w:val="004E7370"/>
    <w:rsid w:val="004F096B"/>
    <w:rsid w:val="004F532F"/>
    <w:rsid w:val="004F5D96"/>
    <w:rsid w:val="00505579"/>
    <w:rsid w:val="005131FD"/>
    <w:rsid w:val="005176A2"/>
    <w:rsid w:val="005209C8"/>
    <w:rsid w:val="00520C2F"/>
    <w:rsid w:val="00583888"/>
    <w:rsid w:val="00586608"/>
    <w:rsid w:val="005B4179"/>
    <w:rsid w:val="005B488C"/>
    <w:rsid w:val="005C100F"/>
    <w:rsid w:val="005D4F5F"/>
    <w:rsid w:val="005E11C7"/>
    <w:rsid w:val="005E34C5"/>
    <w:rsid w:val="005E649E"/>
    <w:rsid w:val="005F1A18"/>
    <w:rsid w:val="006017F0"/>
    <w:rsid w:val="00604CE9"/>
    <w:rsid w:val="00620449"/>
    <w:rsid w:val="00623F10"/>
    <w:rsid w:val="006275E9"/>
    <w:rsid w:val="006510C1"/>
    <w:rsid w:val="00673651"/>
    <w:rsid w:val="00673D85"/>
    <w:rsid w:val="00686F47"/>
    <w:rsid w:val="00692FAD"/>
    <w:rsid w:val="006938CC"/>
    <w:rsid w:val="006965B8"/>
    <w:rsid w:val="00696C4F"/>
    <w:rsid w:val="006A0E98"/>
    <w:rsid w:val="006A460B"/>
    <w:rsid w:val="006C0A3B"/>
    <w:rsid w:val="006C0C2C"/>
    <w:rsid w:val="006C487F"/>
    <w:rsid w:val="006D235D"/>
    <w:rsid w:val="006E60EC"/>
    <w:rsid w:val="006F6DCB"/>
    <w:rsid w:val="00713E3E"/>
    <w:rsid w:val="00715510"/>
    <w:rsid w:val="00722B1A"/>
    <w:rsid w:val="00724DDB"/>
    <w:rsid w:val="00735FA6"/>
    <w:rsid w:val="007379B3"/>
    <w:rsid w:val="00741654"/>
    <w:rsid w:val="007507CD"/>
    <w:rsid w:val="00756D35"/>
    <w:rsid w:val="007639D5"/>
    <w:rsid w:val="007706E4"/>
    <w:rsid w:val="00790693"/>
    <w:rsid w:val="007A253A"/>
    <w:rsid w:val="007A55BD"/>
    <w:rsid w:val="007E66BF"/>
    <w:rsid w:val="007F55AB"/>
    <w:rsid w:val="00803238"/>
    <w:rsid w:val="00831448"/>
    <w:rsid w:val="0086213C"/>
    <w:rsid w:val="00890398"/>
    <w:rsid w:val="00891F4F"/>
    <w:rsid w:val="008A0EF1"/>
    <w:rsid w:val="008B0662"/>
    <w:rsid w:val="008B239B"/>
    <w:rsid w:val="008B5128"/>
    <w:rsid w:val="008B61C7"/>
    <w:rsid w:val="008C3094"/>
    <w:rsid w:val="00900C18"/>
    <w:rsid w:val="009143AB"/>
    <w:rsid w:val="00914554"/>
    <w:rsid w:val="00931938"/>
    <w:rsid w:val="00931E65"/>
    <w:rsid w:val="009417EA"/>
    <w:rsid w:val="00941976"/>
    <w:rsid w:val="00941CDF"/>
    <w:rsid w:val="00955218"/>
    <w:rsid w:val="00961DC5"/>
    <w:rsid w:val="00964A7A"/>
    <w:rsid w:val="009671C7"/>
    <w:rsid w:val="009772D1"/>
    <w:rsid w:val="009815B4"/>
    <w:rsid w:val="009A73C9"/>
    <w:rsid w:val="009C4B9C"/>
    <w:rsid w:val="009E3024"/>
    <w:rsid w:val="009F3A71"/>
    <w:rsid w:val="00A033C1"/>
    <w:rsid w:val="00A26475"/>
    <w:rsid w:val="00A45AD8"/>
    <w:rsid w:val="00A5089A"/>
    <w:rsid w:val="00A531CE"/>
    <w:rsid w:val="00A74513"/>
    <w:rsid w:val="00A767F1"/>
    <w:rsid w:val="00A8211B"/>
    <w:rsid w:val="00A84C82"/>
    <w:rsid w:val="00A963DC"/>
    <w:rsid w:val="00AA5BC1"/>
    <w:rsid w:val="00AB6986"/>
    <w:rsid w:val="00AC02B7"/>
    <w:rsid w:val="00AC0BE0"/>
    <w:rsid w:val="00AC251E"/>
    <w:rsid w:val="00AD0B5F"/>
    <w:rsid w:val="00AE16A4"/>
    <w:rsid w:val="00AE61CD"/>
    <w:rsid w:val="00B0332C"/>
    <w:rsid w:val="00B03A50"/>
    <w:rsid w:val="00B03FDA"/>
    <w:rsid w:val="00B04A81"/>
    <w:rsid w:val="00B13085"/>
    <w:rsid w:val="00B20E81"/>
    <w:rsid w:val="00B22564"/>
    <w:rsid w:val="00B32FA1"/>
    <w:rsid w:val="00B34FA7"/>
    <w:rsid w:val="00B405A4"/>
    <w:rsid w:val="00B72BED"/>
    <w:rsid w:val="00B86074"/>
    <w:rsid w:val="00B86319"/>
    <w:rsid w:val="00B91224"/>
    <w:rsid w:val="00BA61E8"/>
    <w:rsid w:val="00BC317E"/>
    <w:rsid w:val="00BD0AD6"/>
    <w:rsid w:val="00BD7C12"/>
    <w:rsid w:val="00BE2066"/>
    <w:rsid w:val="00BE228D"/>
    <w:rsid w:val="00BE4352"/>
    <w:rsid w:val="00BF503F"/>
    <w:rsid w:val="00C01A11"/>
    <w:rsid w:val="00C11962"/>
    <w:rsid w:val="00C22E00"/>
    <w:rsid w:val="00C47F84"/>
    <w:rsid w:val="00C50339"/>
    <w:rsid w:val="00C54D81"/>
    <w:rsid w:val="00C63C1E"/>
    <w:rsid w:val="00C65AF8"/>
    <w:rsid w:val="00C66E01"/>
    <w:rsid w:val="00C715B2"/>
    <w:rsid w:val="00C90312"/>
    <w:rsid w:val="00C93E5D"/>
    <w:rsid w:val="00C9502D"/>
    <w:rsid w:val="00C95B96"/>
    <w:rsid w:val="00C9751B"/>
    <w:rsid w:val="00CA67D9"/>
    <w:rsid w:val="00CB7C58"/>
    <w:rsid w:val="00CD480A"/>
    <w:rsid w:val="00CE1019"/>
    <w:rsid w:val="00CE12AD"/>
    <w:rsid w:val="00CE5E7D"/>
    <w:rsid w:val="00CE7965"/>
    <w:rsid w:val="00D042CD"/>
    <w:rsid w:val="00D10531"/>
    <w:rsid w:val="00D119E8"/>
    <w:rsid w:val="00D12920"/>
    <w:rsid w:val="00D2673C"/>
    <w:rsid w:val="00D3611D"/>
    <w:rsid w:val="00D4744B"/>
    <w:rsid w:val="00D60D2D"/>
    <w:rsid w:val="00D759E9"/>
    <w:rsid w:val="00DA12BD"/>
    <w:rsid w:val="00DA325D"/>
    <w:rsid w:val="00DB465A"/>
    <w:rsid w:val="00DB629A"/>
    <w:rsid w:val="00DC4EC0"/>
    <w:rsid w:val="00DC611A"/>
    <w:rsid w:val="00DF6837"/>
    <w:rsid w:val="00E14096"/>
    <w:rsid w:val="00E178F3"/>
    <w:rsid w:val="00E32B81"/>
    <w:rsid w:val="00E34F7A"/>
    <w:rsid w:val="00E35D3C"/>
    <w:rsid w:val="00E374D6"/>
    <w:rsid w:val="00E378D6"/>
    <w:rsid w:val="00E456B6"/>
    <w:rsid w:val="00E528A2"/>
    <w:rsid w:val="00E600CE"/>
    <w:rsid w:val="00E67BAF"/>
    <w:rsid w:val="00E72202"/>
    <w:rsid w:val="00E764FD"/>
    <w:rsid w:val="00E77069"/>
    <w:rsid w:val="00E83430"/>
    <w:rsid w:val="00E840EB"/>
    <w:rsid w:val="00E86ED9"/>
    <w:rsid w:val="00E92B9A"/>
    <w:rsid w:val="00EA553B"/>
    <w:rsid w:val="00EA7905"/>
    <w:rsid w:val="00EB025B"/>
    <w:rsid w:val="00EB52B5"/>
    <w:rsid w:val="00EC525F"/>
    <w:rsid w:val="00ED7A43"/>
    <w:rsid w:val="00EE2719"/>
    <w:rsid w:val="00EE6A8B"/>
    <w:rsid w:val="00F01ADC"/>
    <w:rsid w:val="00F03DE3"/>
    <w:rsid w:val="00F10472"/>
    <w:rsid w:val="00F11CC4"/>
    <w:rsid w:val="00F15481"/>
    <w:rsid w:val="00F160AA"/>
    <w:rsid w:val="00F237C5"/>
    <w:rsid w:val="00F305FD"/>
    <w:rsid w:val="00F37EE7"/>
    <w:rsid w:val="00F4232F"/>
    <w:rsid w:val="00F6210B"/>
    <w:rsid w:val="00F721F6"/>
    <w:rsid w:val="00F812FF"/>
    <w:rsid w:val="00F928A1"/>
    <w:rsid w:val="00FA5ACC"/>
    <w:rsid w:val="00FC09FE"/>
    <w:rsid w:val="00FE4861"/>
    <w:rsid w:val="00FF1CC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22"/>
  </w:style>
  <w:style w:type="paragraph" w:styleId="Ttulo3">
    <w:name w:val="heading 3"/>
    <w:basedOn w:val="Prrafodelista"/>
    <w:next w:val="Normal"/>
    <w:link w:val="Ttulo3Car"/>
    <w:uiPriority w:val="9"/>
    <w:unhideWhenUsed/>
    <w:qFormat/>
    <w:rsid w:val="003A4522"/>
    <w:pPr>
      <w:numPr>
        <w:numId w:val="2"/>
      </w:numPr>
      <w:tabs>
        <w:tab w:val="num" w:pos="360"/>
      </w:tabs>
      <w:ind w:left="720"/>
      <w:jc w:val="left"/>
      <w:outlineLvl w:val="2"/>
    </w:pPr>
    <w:rPr>
      <w:u w:val="single"/>
    </w:rPr>
  </w:style>
  <w:style w:type="paragraph" w:styleId="Ttulo4">
    <w:name w:val="heading 4"/>
    <w:basedOn w:val="Normal"/>
    <w:next w:val="Normal"/>
    <w:link w:val="Ttulo4Car"/>
    <w:uiPriority w:val="9"/>
    <w:unhideWhenUsed/>
    <w:qFormat/>
    <w:rsid w:val="003A4522"/>
    <w:pPr>
      <w:spacing w:after="0" w:line="360" w:lineRule="auto"/>
      <w:jc w:val="both"/>
      <w:outlineLvl w:val="3"/>
    </w:pPr>
    <w:rPr>
      <w:rFonts w:cstheme="minorHAnsi"/>
      <w:b/>
      <w:sz w:val="24"/>
      <w:szCs w:val="24"/>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3A4522"/>
    <w:rPr>
      <w:b/>
      <w:sz w:val="24"/>
      <w:szCs w:val="24"/>
      <w:u w:val="single"/>
      <w:lang w:val="es-MX"/>
    </w:rPr>
  </w:style>
  <w:style w:type="character" w:customStyle="1" w:styleId="Ttulo4Car">
    <w:name w:val="Título 4 Car"/>
    <w:basedOn w:val="Fuentedeprrafopredeter"/>
    <w:link w:val="Ttulo4"/>
    <w:uiPriority w:val="9"/>
    <w:rsid w:val="003A4522"/>
    <w:rPr>
      <w:rFonts w:cstheme="minorHAnsi"/>
      <w:b/>
      <w:sz w:val="24"/>
      <w:szCs w:val="24"/>
      <w:u w:val="single"/>
      <w:lang w:val="es-MX"/>
    </w:rPr>
  </w:style>
  <w:style w:type="paragraph" w:styleId="Prrafodelista">
    <w:name w:val="List Paragraph"/>
    <w:aliases w:val="TIT 2 IND,tEXTO,Texto,Colorful List - Accent 11,lp1,Capítulo,Lista Documento,Titulo parrafo"/>
    <w:basedOn w:val="Normal"/>
    <w:link w:val="PrrafodelistaCar"/>
    <w:uiPriority w:val="1"/>
    <w:qFormat/>
    <w:rsid w:val="003A4522"/>
    <w:pPr>
      <w:numPr>
        <w:numId w:val="1"/>
      </w:numPr>
      <w:spacing w:after="0" w:line="360" w:lineRule="auto"/>
      <w:contextualSpacing/>
      <w:jc w:val="center"/>
    </w:pPr>
    <w:rPr>
      <w:b/>
      <w:sz w:val="24"/>
      <w:szCs w:val="24"/>
      <w:lang w:val="es-MX"/>
    </w:rPr>
  </w:style>
  <w:style w:type="table" w:styleId="Tablaconcuadrcula">
    <w:name w:val="Table Grid"/>
    <w:basedOn w:val="Tablanormal"/>
    <w:uiPriority w:val="59"/>
    <w:rsid w:val="003A4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pgrafe">
    <w:name w:val="caption"/>
    <w:basedOn w:val="Normal"/>
    <w:next w:val="Normal"/>
    <w:uiPriority w:val="35"/>
    <w:unhideWhenUsed/>
    <w:qFormat/>
    <w:rsid w:val="003A4522"/>
    <w:pPr>
      <w:spacing w:after="200" w:line="240" w:lineRule="auto"/>
      <w:jc w:val="center"/>
    </w:pPr>
    <w:rPr>
      <w:b/>
      <w:bCs/>
      <w:sz w:val="20"/>
      <w:szCs w:val="18"/>
      <w:lang w:val="es-ES"/>
    </w:rPr>
  </w:style>
  <w:style w:type="character" w:customStyle="1" w:styleId="PrrafodelistaCar">
    <w:name w:val="Párrafo de lista Car"/>
    <w:aliases w:val="TIT 2 IND Car,tEXTO Car,Texto Car,Colorful List - Accent 11 Car,lp1 Car,Capítulo Car,Lista Documento Car,Titulo parrafo Car"/>
    <w:link w:val="Prrafodelista"/>
    <w:uiPriority w:val="1"/>
    <w:qFormat/>
    <w:locked/>
    <w:rsid w:val="003A4522"/>
    <w:rPr>
      <w:b/>
      <w:sz w:val="24"/>
      <w:szCs w:val="24"/>
      <w:lang w:val="es-MX"/>
    </w:rPr>
  </w:style>
  <w:style w:type="paragraph" w:styleId="Textoindependiente">
    <w:name w:val="Body Text"/>
    <w:basedOn w:val="Normal"/>
    <w:link w:val="TextoindependienteCar"/>
    <w:rsid w:val="003A4522"/>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3A4522"/>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3A45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A45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22"/>
  </w:style>
  <w:style w:type="paragraph" w:styleId="Ttulo3">
    <w:name w:val="heading 3"/>
    <w:basedOn w:val="Prrafodelista"/>
    <w:next w:val="Normal"/>
    <w:link w:val="Ttulo3Car"/>
    <w:uiPriority w:val="9"/>
    <w:unhideWhenUsed/>
    <w:qFormat/>
    <w:rsid w:val="003A4522"/>
    <w:pPr>
      <w:numPr>
        <w:numId w:val="2"/>
      </w:numPr>
      <w:tabs>
        <w:tab w:val="num" w:pos="360"/>
      </w:tabs>
      <w:ind w:left="720"/>
      <w:jc w:val="left"/>
      <w:outlineLvl w:val="2"/>
    </w:pPr>
    <w:rPr>
      <w:u w:val="single"/>
    </w:rPr>
  </w:style>
  <w:style w:type="paragraph" w:styleId="Ttulo4">
    <w:name w:val="heading 4"/>
    <w:basedOn w:val="Normal"/>
    <w:next w:val="Normal"/>
    <w:link w:val="Ttulo4Car"/>
    <w:uiPriority w:val="9"/>
    <w:unhideWhenUsed/>
    <w:qFormat/>
    <w:rsid w:val="003A4522"/>
    <w:pPr>
      <w:spacing w:after="0" w:line="360" w:lineRule="auto"/>
      <w:jc w:val="both"/>
      <w:outlineLvl w:val="3"/>
    </w:pPr>
    <w:rPr>
      <w:rFonts w:cstheme="minorHAnsi"/>
      <w:b/>
      <w:sz w:val="24"/>
      <w:szCs w:val="24"/>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3A4522"/>
    <w:rPr>
      <w:b/>
      <w:sz w:val="24"/>
      <w:szCs w:val="24"/>
      <w:u w:val="single"/>
      <w:lang w:val="es-MX"/>
    </w:rPr>
  </w:style>
  <w:style w:type="character" w:customStyle="1" w:styleId="Ttulo4Car">
    <w:name w:val="Título 4 Car"/>
    <w:basedOn w:val="Fuentedeprrafopredeter"/>
    <w:link w:val="Ttulo4"/>
    <w:uiPriority w:val="9"/>
    <w:rsid w:val="003A4522"/>
    <w:rPr>
      <w:rFonts w:cstheme="minorHAnsi"/>
      <w:b/>
      <w:sz w:val="24"/>
      <w:szCs w:val="24"/>
      <w:u w:val="single"/>
      <w:lang w:val="es-MX"/>
    </w:rPr>
  </w:style>
  <w:style w:type="paragraph" w:styleId="Prrafodelista">
    <w:name w:val="List Paragraph"/>
    <w:aliases w:val="TIT 2 IND,tEXTO,Texto,Colorful List - Accent 11,lp1,Capítulo,Lista Documento,Titulo parrafo"/>
    <w:basedOn w:val="Normal"/>
    <w:link w:val="PrrafodelistaCar"/>
    <w:uiPriority w:val="1"/>
    <w:qFormat/>
    <w:rsid w:val="003A4522"/>
    <w:pPr>
      <w:numPr>
        <w:numId w:val="1"/>
      </w:numPr>
      <w:spacing w:after="0" w:line="360" w:lineRule="auto"/>
      <w:contextualSpacing/>
      <w:jc w:val="center"/>
    </w:pPr>
    <w:rPr>
      <w:b/>
      <w:sz w:val="24"/>
      <w:szCs w:val="24"/>
      <w:lang w:val="es-MX"/>
    </w:rPr>
  </w:style>
  <w:style w:type="table" w:styleId="Tablaconcuadrcula">
    <w:name w:val="Table Grid"/>
    <w:basedOn w:val="Tablanormal"/>
    <w:uiPriority w:val="59"/>
    <w:rsid w:val="003A4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pgrafe">
    <w:name w:val="caption"/>
    <w:basedOn w:val="Normal"/>
    <w:next w:val="Normal"/>
    <w:uiPriority w:val="35"/>
    <w:unhideWhenUsed/>
    <w:qFormat/>
    <w:rsid w:val="003A4522"/>
    <w:pPr>
      <w:spacing w:after="200" w:line="240" w:lineRule="auto"/>
      <w:jc w:val="center"/>
    </w:pPr>
    <w:rPr>
      <w:b/>
      <w:bCs/>
      <w:sz w:val="20"/>
      <w:szCs w:val="18"/>
      <w:lang w:val="es-ES"/>
    </w:rPr>
  </w:style>
  <w:style w:type="character" w:customStyle="1" w:styleId="PrrafodelistaCar">
    <w:name w:val="Párrafo de lista Car"/>
    <w:aliases w:val="TIT 2 IND Car,tEXTO Car,Texto Car,Colorful List - Accent 11 Car,lp1 Car,Capítulo Car,Lista Documento Car,Titulo parrafo Car"/>
    <w:link w:val="Prrafodelista"/>
    <w:uiPriority w:val="1"/>
    <w:qFormat/>
    <w:locked/>
    <w:rsid w:val="003A4522"/>
    <w:rPr>
      <w:b/>
      <w:sz w:val="24"/>
      <w:szCs w:val="24"/>
      <w:lang w:val="es-MX"/>
    </w:rPr>
  </w:style>
  <w:style w:type="paragraph" w:styleId="Textoindependiente">
    <w:name w:val="Body Text"/>
    <w:basedOn w:val="Normal"/>
    <w:link w:val="TextoindependienteCar"/>
    <w:rsid w:val="003A4522"/>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3A4522"/>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3A45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A45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1445</Words>
  <Characters>7948</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Jijón Andrade Diego Nicolás</dc:creator>
  <cp:lastModifiedBy>Alvarado Ceron Sonia Yolanda</cp:lastModifiedBy>
  <cp:revision>2</cp:revision>
  <cp:lastPrinted>2017-06-14T21:16:00Z</cp:lastPrinted>
  <dcterms:created xsi:type="dcterms:W3CDTF">2023-03-30T20:10:00Z</dcterms:created>
  <dcterms:modified xsi:type="dcterms:W3CDTF">2023-03-30T20:10:00Z</dcterms:modified>
</cp:coreProperties>
</file>